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292D0">
      <w:pPr>
        <w:framePr w:wrap="auto" w:vAnchor="margin" w:hAnchor="text" w:yAlign="inline"/>
        <w:rPr>
          <w:rFonts w:ascii="仿宋_GB2312" w:hAnsi="仿宋_GB2312" w:eastAsia="仿宋_GB2312" w:cs="仿宋_GB2312"/>
          <w:outline w:val="0"/>
          <w:color w:val="000000"/>
          <w:sz w:val="32"/>
          <w:szCs w:val="32"/>
          <w:u w:color="000000"/>
          <w:rtl w:val="0"/>
          <w:lang w:val="en-US"/>
        </w:rPr>
      </w:pPr>
      <w:r>
        <w:rPr>
          <w:rFonts w:ascii="仿宋_GB2312" w:hAnsi="仿宋_GB2312" w:eastAsia="仿宋_GB2312" w:cs="仿宋_GB2312"/>
          <w:outline w:val="0"/>
          <w:color w:val="000000"/>
          <w:sz w:val="32"/>
          <w:szCs w:val="32"/>
          <w:u w:color="000000"/>
          <w:rtl w:val="0"/>
          <w:lang w:val="zh-TW" w:eastAsia="zh-TW"/>
        </w:rPr>
        <w:t>附件</w:t>
      </w:r>
      <w:r>
        <w:rPr>
          <w:rFonts w:ascii="仿宋_GB2312" w:hAnsi="仿宋_GB2312" w:eastAsia="仿宋_GB2312" w:cs="仿宋_GB2312"/>
          <w:outline w:val="0"/>
          <w:color w:val="000000"/>
          <w:sz w:val="32"/>
          <w:szCs w:val="32"/>
          <w:u w:color="000000"/>
          <w:rtl w:val="0"/>
          <w:lang w:val="en-US"/>
        </w:rPr>
        <w:t>1</w:t>
      </w:r>
    </w:p>
    <w:p w14:paraId="4CF4D85B"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ascii="仿宋_GB2312" w:hAnsi="仿宋_GB2312" w:eastAsia="仿宋_GB2312" w:cs="仿宋_GB2312"/>
          <w:outline w:val="0"/>
          <w:color w:val="000000"/>
          <w:sz w:val="32"/>
          <w:szCs w:val="32"/>
          <w:u w:color="000000"/>
          <w:rtl w:val="0"/>
          <w:lang w:val="en-US"/>
        </w:rPr>
      </w:pPr>
      <w:bookmarkStart w:id="0" w:name="_GoBack"/>
      <w:bookmarkEnd w:id="0"/>
    </w:p>
    <w:p w14:paraId="63F04BE4">
      <w:pPr>
        <w:framePr w:wrap="auto" w:vAnchor="margin" w:hAnchor="text" w:yAlign="inline"/>
        <w:jc w:val="center"/>
        <w:rPr>
          <w:rFonts w:ascii="方正小标宋简体" w:hAnsi="方正小标宋简体" w:eastAsia="方正小标宋简体" w:cs="方正小标宋简体"/>
          <w:outline w:val="0"/>
          <w:color w:val="000000"/>
          <w:sz w:val="44"/>
          <w:szCs w:val="44"/>
          <w:u w:color="000000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outline w:val="0"/>
          <w:color w:val="000000"/>
          <w:sz w:val="44"/>
          <w:szCs w:val="44"/>
          <w:u w:color="000000"/>
          <w:rtl w:val="0"/>
          <w:lang w:val="zh-TW" w:eastAsia="zh-TW"/>
        </w:rPr>
        <w:t>新乡市东方文化商业步行街高品质商业街改造提升绩效指标表</w:t>
      </w:r>
    </w:p>
    <w:tbl>
      <w:tblPr>
        <w:tblStyle w:val="3"/>
        <w:tblW w:w="1397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4874CB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6"/>
        <w:gridCol w:w="7389"/>
        <w:gridCol w:w="4783"/>
      </w:tblGrid>
      <w:tr w14:paraId="1AB289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4874C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tblHeader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ADEF8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评价指标</w:t>
            </w:r>
          </w:p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E9719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评价内容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ED9FC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绩效指标</w:t>
            </w:r>
          </w:p>
        </w:tc>
      </w:tr>
      <w:tr w14:paraId="1F774E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9B8A8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环境设施</w:t>
            </w:r>
          </w:p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56618">
            <w:pPr>
              <w:framePr w:wrap="auto" w:vAnchor="margin" w:hAnchor="text" w:yAlign="inline"/>
              <w:spacing w:line="560" w:lineRule="exact"/>
            </w:pPr>
            <w:r>
              <w:rPr>
                <w:rFonts w:ascii="仿宋_GB2312" w:hAnsi="仿宋_GB2312" w:eastAsia="仿宋_GB2312" w:cs="仿宋_GB2312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公共空间环境形象提升、配套服务设施齐全、功能完善，街区消费体验感明显提升，形成环境优美、设施完善、人文特质彰显的公共活动空间和具有独特性、创新性的商文旅融合立体化空间格局。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E2C1D">
            <w:pPr>
              <w:pStyle w:val="2"/>
              <w:framePr w:wrap="auto" w:vAnchor="margin" w:hAnchor="text" w:yAlign="inline"/>
              <w:widowControl/>
              <w:spacing w:line="560" w:lineRule="exact"/>
              <w:jc w:val="both"/>
              <w:outlineLvl w:val="2"/>
            </w:pP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街区公共空间环境提升；街区景观迭代、亮化；街区三个广场改造提升；具有独特性、创新性的商文旅融合立体化空间格局形成。</w:t>
            </w:r>
          </w:p>
        </w:tc>
      </w:tr>
      <w:tr w14:paraId="4E6C96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5D924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业态品质</w:t>
            </w:r>
          </w:p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414A8">
            <w:pPr>
              <w:framePr w:wrap="auto" w:vAnchor="margin" w:hAnchor="text" w:yAlign="inline"/>
              <w:spacing w:line="560" w:lineRule="exact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首店经济、首发经济、体验经济、数字经济等新业态占比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8BAA9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en-US"/>
              </w:rPr>
              <w:t>≥20%</w:t>
            </w:r>
          </w:p>
        </w:tc>
      </w:tr>
      <w:tr w14:paraId="3A0E2C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680772"/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BF053">
            <w:pPr>
              <w:framePr w:wrap="auto" w:vAnchor="margin" w:hAnchor="text" w:yAlign="inline"/>
              <w:spacing w:line="560" w:lineRule="exact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国内外连锁品牌首店、旗舰店、区域总店、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en-US"/>
              </w:rPr>
              <w:t>500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平方以上大店累计数量（家）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2425E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en-US"/>
              </w:rPr>
              <w:t>≥3</w:t>
            </w:r>
          </w:p>
        </w:tc>
      </w:tr>
      <w:tr w14:paraId="12165E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B77724"/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B692B">
            <w:pPr>
              <w:framePr w:wrap="auto" w:vAnchor="margin" w:hAnchor="text" w:yAlign="inline"/>
              <w:spacing w:line="560" w:lineRule="exact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老字号店、非遗、地方特色品牌店数量（家）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8087C">
            <w:pPr>
              <w:framePr w:wrap="auto" w:vAnchor="margin" w:hAnchor="text" w:yAlign="inline"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rtl w:val="0"/>
                <w:lang w:val="en-US"/>
              </w:rPr>
              <w:t>3</w:t>
            </w:r>
          </w:p>
        </w:tc>
      </w:tr>
      <w:tr w14:paraId="670D8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E8639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智慧水平</w:t>
            </w:r>
          </w:p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56862">
            <w:pPr>
              <w:framePr w:wrap="auto" w:vAnchor="margin" w:hAnchor="text" w:yAlign="inline"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智慧化设施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9B6CE">
            <w:pPr>
              <w:framePr w:wrap="auto" w:vAnchor="margin" w:hAnchor="text" w:yAlign="inline"/>
              <w:spacing w:line="560" w:lineRule="exact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outline w:val="0"/>
                <w:color w:val="auto"/>
                <w:sz w:val="24"/>
                <w:szCs w:val="24"/>
                <w:rtl w:val="0"/>
                <w:lang w:val="en-US" w:eastAsia="zh-CN"/>
              </w:rPr>
              <w:t>提供</w:t>
            </w:r>
            <w:r>
              <w:rPr>
                <w:rFonts w:ascii="仿宋_GB2312" w:hAnsi="仿宋_GB2312" w:eastAsia="仿宋_GB2312" w:cs="仿宋_GB2312"/>
                <w:outline w:val="0"/>
                <w:color w:val="auto"/>
                <w:sz w:val="24"/>
                <w:szCs w:val="24"/>
                <w:rtl w:val="0"/>
                <w:lang w:val="zh-CN" w:eastAsia="zh-CN"/>
              </w:rPr>
              <w:t>可</w:t>
            </w:r>
            <w:r>
              <w:rPr>
                <w:rFonts w:ascii="仿宋_GB2312" w:hAnsi="仿宋_GB2312" w:eastAsia="仿宋_GB2312" w:cs="仿宋_GB2312"/>
                <w:outline w:val="0"/>
                <w:color w:val="auto"/>
                <w:sz w:val="24"/>
                <w:szCs w:val="24"/>
                <w:rtl w:val="0"/>
                <w:lang w:val="zh-TW" w:eastAsia="zh-TW"/>
              </w:rPr>
              <w:t>智慧化交互</w:t>
            </w:r>
            <w:r>
              <w:rPr>
                <w:rFonts w:ascii="仿宋_GB2312" w:hAnsi="仿宋_GB2312" w:eastAsia="仿宋_GB2312" w:cs="仿宋_GB2312"/>
                <w:outline w:val="0"/>
                <w:color w:val="auto"/>
                <w:sz w:val="24"/>
                <w:szCs w:val="24"/>
                <w:rtl w:val="0"/>
                <w:lang w:val="zh-CN" w:eastAsia="zh-CN"/>
              </w:rPr>
              <w:t>体验</w:t>
            </w:r>
          </w:p>
        </w:tc>
      </w:tr>
      <w:tr w14:paraId="27C1C2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20D07A"/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C3624">
            <w:pPr>
              <w:framePr w:wrap="auto" w:vAnchor="margin" w:hAnchor="text" w:yAlign="inline"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智慧化终端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418F1">
            <w:pPr>
              <w:framePr w:wrap="auto" w:vAnchor="margin" w:hAnchor="text" w:yAlign="inline"/>
              <w:spacing w:line="560" w:lineRule="exact"/>
              <w:jc w:val="left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引进培育无人销售店铺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rtl w:val="0"/>
                <w:lang w:val="en-US"/>
              </w:rPr>
              <w:t>1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家以上</w:t>
            </w:r>
          </w:p>
        </w:tc>
      </w:tr>
      <w:tr w14:paraId="2B6575A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7FE77B"/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0D43E">
            <w:pPr>
              <w:framePr w:wrap="auto" w:vAnchor="margin" w:hAnchor="text" w:yAlign="inline"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智慧化场景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41D73">
            <w:pPr>
              <w:framePr w:wrap="auto" w:vAnchor="margin" w:hAnchor="text" w:yAlign="inline"/>
              <w:spacing w:line="560" w:lineRule="exact"/>
              <w:jc w:val="left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outline w:val="0"/>
                <w:color w:val="auto"/>
                <w:sz w:val="24"/>
                <w:szCs w:val="24"/>
                <w:rtl w:val="0"/>
                <w:lang w:val="zh-TW" w:eastAsia="zh-TW"/>
              </w:rPr>
              <w:t>引进培育打造数字消费体验项目1个</w:t>
            </w:r>
          </w:p>
        </w:tc>
      </w:tr>
      <w:tr w14:paraId="3013D3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F1F88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消费活动</w:t>
            </w:r>
          </w:p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F4E89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三年累计举办各类消费促进与文化策展展演活动（场）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BF6AE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en-US"/>
              </w:rPr>
              <w:t>29</w:t>
            </w:r>
          </w:p>
        </w:tc>
      </w:tr>
      <w:tr w14:paraId="3181818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E8CE84"/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9F173">
            <w:pPr>
              <w:framePr w:wrap="auto" w:vAnchor="margin" w:hAnchor="text" w:yAlign="inline"/>
              <w:spacing w:line="560" w:lineRule="exact"/>
              <w:jc w:val="left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其中：市级及以上影响力活动（场）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0EA58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en-US"/>
              </w:rPr>
              <w:t>3</w:t>
            </w:r>
          </w:p>
        </w:tc>
      </w:tr>
      <w:tr w14:paraId="463744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7AFC37"/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8ED6C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区级活动（场）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4DD8E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en-US"/>
              </w:rPr>
              <w:t>6</w:t>
            </w:r>
          </w:p>
        </w:tc>
      </w:tr>
      <w:tr w14:paraId="3772022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FACA74"/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A06CA">
            <w:pPr>
              <w:framePr w:wrap="auto" w:vAnchor="margin" w:hAnchor="text" w:yAlign="inline"/>
              <w:spacing w:line="560" w:lineRule="exact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街区自主活动（场）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0DA58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en-US"/>
              </w:rPr>
              <w:t>20</w:t>
            </w:r>
          </w:p>
        </w:tc>
      </w:tr>
      <w:tr w14:paraId="5611B4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016CF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运营管理</w:t>
            </w:r>
          </w:p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CD65A">
            <w:pPr>
              <w:framePr w:wrap="auto" w:vAnchor="margin" w:hAnchor="text" w:yAlign="inline"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建立多方共建共管机制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8F247">
            <w:pPr>
              <w:framePr w:wrap="auto" w:vAnchor="margin" w:hAnchor="text" w:yAlign="inline"/>
              <w:spacing w:line="560" w:lineRule="exact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outline w:val="0"/>
                <w:color w:val="auto"/>
                <w:sz w:val="24"/>
                <w:szCs w:val="24"/>
                <w:rtl w:val="0"/>
                <w:lang w:val="zh-TW" w:eastAsia="zh-TW"/>
              </w:rPr>
              <w:t>商业街建立商户、产权方共建机制，可持续发展机制成熟运行。</w:t>
            </w:r>
          </w:p>
        </w:tc>
      </w:tr>
      <w:tr w14:paraId="6BD97E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0" w:hRule="atLeast"/>
          <w:jc w:val="center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EA314D"/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5FEFB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运营管理制度完善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153F3">
            <w:pPr>
              <w:framePr w:wrap="auto" w:vAnchor="margin" w:hAnchor="text" w:yAlign="inline"/>
              <w:spacing w:line="560" w:lineRule="exact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制定系统全面的商业街管理制度，涵盖食品安全、环境卫生、消费者权益保护等方面，具备畅通高效的消费者、商户诉求反馈渠道。</w:t>
            </w:r>
          </w:p>
        </w:tc>
      </w:tr>
      <w:tr w14:paraId="115DD4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0" w:hRule="atLeast"/>
          <w:jc w:val="center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6D463F"/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AE39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组织开展人才培训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57FC2">
            <w:pPr>
              <w:framePr w:wrap="auto" w:vAnchor="margin" w:hAnchor="text" w:yAlign="inline"/>
              <w:spacing w:line="560" w:lineRule="exact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人才培养机制建立健全。开展商业运营、视频、直播、销售等技能培训；组织商户联盟、开展评优活动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en-US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次。</w:t>
            </w:r>
          </w:p>
        </w:tc>
      </w:tr>
      <w:tr w14:paraId="124D3F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E382BD"/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F7950">
            <w:pPr>
              <w:framePr w:wrap="auto" w:vAnchor="margin" w:hAnchor="text" w:yAlign="inline"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安全生产与应急处理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3B55F">
            <w:pPr>
              <w:framePr w:wrap="auto" w:vAnchor="margin" w:hAnchor="text" w:yAlign="inline"/>
              <w:spacing w:line="560" w:lineRule="exact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outline w:val="0"/>
                <w:color w:val="auto"/>
                <w:sz w:val="24"/>
                <w:szCs w:val="24"/>
                <w:rtl w:val="0"/>
                <w:lang w:val="zh-TW" w:eastAsia="zh-TW"/>
              </w:rPr>
              <w:t>安全应急处理能力显著增强，安全生产良性运转。</w:t>
            </w:r>
          </w:p>
        </w:tc>
      </w:tr>
      <w:tr w14:paraId="3B754C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DC40C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综合效益</w:t>
            </w:r>
          </w:p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04FB8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街区客流量（万人次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年）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1F788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en-US"/>
              </w:rPr>
              <w:t>800</w:t>
            </w:r>
          </w:p>
        </w:tc>
      </w:tr>
      <w:tr w14:paraId="622A03F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0DD6C7"/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5E41B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营业额同比增速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B2326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实现营业额同比正增长</w:t>
            </w:r>
          </w:p>
        </w:tc>
      </w:tr>
      <w:tr w14:paraId="299A9D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115D4B"/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217F4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商业空置率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2C54D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en-US"/>
              </w:rPr>
              <w:t>10%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以内</w:t>
            </w:r>
          </w:p>
        </w:tc>
      </w:tr>
      <w:tr w14:paraId="34C4AA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6F872D"/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4B998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吸纳社会就业人数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5CB51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连续三年稳定增长</w:t>
            </w:r>
          </w:p>
        </w:tc>
      </w:tr>
      <w:tr w14:paraId="2CDFED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010840"/>
        </w:tc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03C7F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消费者、经营者满意度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3C0DE">
            <w:pPr>
              <w:framePr w:wrap="auto" w:vAnchor="margin" w:hAnchor="text" w:yAlign="inline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en-US"/>
              </w:rPr>
              <w:t>≥90%</w:t>
            </w:r>
          </w:p>
        </w:tc>
      </w:tr>
    </w:tbl>
    <w:p w14:paraId="20094E2A">
      <w:pPr>
        <w:framePr w:wrap="auto" w:vAnchor="margin" w:hAnchor="text" w:yAlign="inline"/>
        <w:jc w:val="center"/>
      </w:pPr>
    </w:p>
    <w:sectPr>
      <w:headerReference r:id="rId5" w:type="default"/>
      <w:footerReference r:id="rId6" w:type="default"/>
      <w:pgSz w:w="16840" w:h="11900" w:orient="landscape"/>
      <w:pgMar w:top="1440" w:right="1440" w:bottom="1800" w:left="144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SimSong Bold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PingFang SC Regular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2BA58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D0DE7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0F796604"/>
    <w:rsid w:val="2A7B2AC1"/>
    <w:rsid w:val="7BDD4A81"/>
    <w:rsid w:val="FBFFE9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Calibri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styleId="2">
    <w:name w:val="heading 3"/>
    <w:next w:val="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0"/>
    </w:pPr>
    <w:rPr>
      <w:rFonts w:hint="eastAsia" w:ascii="Arial Unicode MS" w:hAnsi="Arial Unicode MS" w:eastAsia="SimSong Bold" w:cs="Arial Unicode MS"/>
      <w:color w:val="000000"/>
      <w:spacing w:val="0"/>
      <w:w w:val="100"/>
      <w:kern w:val="0"/>
      <w:position w:val="0"/>
      <w:sz w:val="27"/>
      <w:szCs w:val="27"/>
      <w:u w:val="none" w:color="000000"/>
      <w:shd w:val="clear" w:color="auto" w:fill="auto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662</Words>
  <Characters>674</Characters>
  <TotalTime>1</TotalTime>
  <ScaleCrop>false</ScaleCrop>
  <LinksUpToDate>false</LinksUpToDate>
  <CharactersWithSpaces>674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2026-03-09T20:12:00Z</dcterms:created>
  <dc:creator>admin</dc:creator>
  <cp:lastModifiedBy>伊梓</cp:lastModifiedBy>
  <dcterms:modified xsi:type="dcterms:W3CDTF">2026-03-10T09:38:55Z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eyJoZGlkIjoiNTljNjIxNjI3YWZmMDBkZjFjMmY2N2IwNjM3ZGM2NzciLCJ1c2VySWQiOiIzNDk2NTUxMjAifQ==</vt:lpwstr>
  </property>
  <property fmtid="{D5CDD505-2E9C-101B-9397-08002B2CF9AE}" pid="3" name="KSOProductBuildVer">
    <vt:lpwstr>2052-12.8.2.1119</vt:lpwstr>
  </property>
  <property fmtid="{D5CDD505-2E9C-101B-9397-08002B2CF9AE}" pid="4" name="ICV">
    <vt:lpwstr>4D72657A829D844F2F76AF69F34E4953_43</vt:lpwstr>
  </property>
</Properties>
</file>