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年重大政策和重点项目绩效执行结果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情   况</w:t>
      </w:r>
    </w:p>
    <w:p>
      <w:pPr>
        <w:spacing w:line="540" w:lineRule="exact"/>
        <w:rPr>
          <w:rFonts w:eastAsia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1.多维度抓收入，增强税收保障能力。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由于落实组合式减税降费政策导致全年收入锐减6187万元，我们主动作为，积极应对，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按照“以周保月、以月保季、以季保年”的工作思路，组织税务部门和非税征管职能部门加大收入征管力度，多渠道全方位挖潜增收。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建立三项制度、两个台账（周报告制度、半月例会制度、月通报制度，建筑项目台账、争取资金台账)，不断完善工作机制，加强沟通协调，杜绝税源流失。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树立“小税种、大税源”理念，深入排查耕地占用税、水资源税、环保税，全年共计增收2686万元。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通过抓优化营商环境稳固税源，抓项目建设培植税源，抓非税收入应收尽收。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兜牢“三保”底线，持续增进民生福祉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努力争取上级资金，统筹调度各类资金，全力保障“三保”支出。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保障干部职工切身利益。在财力异常紧张的情况下，筹措资金22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00万元兑现机关事业单位新增工资和物业补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加大城市治理力度。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投入环境保护、清扫保洁、小街巷治理资金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1857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万元，着力改善城区面貌。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集中财力保障各项民生投入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全区教育、医疗卫生、社会保障、住房保障等民生资金投入29517万元，占全区一般公共预算支出总额的68.9%。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四是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聚力推动乡村振兴。做好巩固拓展脱贫攻坚成果与乡村振兴有效衔接工作，切实提高衔接资金使用效益。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CN"/>
        </w:rPr>
        <w:t>全年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投入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CN"/>
        </w:rPr>
        <w:t>衔接资金72万元，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支付率达100%。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年底联合第三方开展绩效评价，评价结果为优秀。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zh-CN"/>
        </w:rPr>
        <w:t>五是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高效推进惠民惠农“一卡通”管理工作。通过“一卡通”系统发放补贴资金3987万元，发放项目48个，惠及群众151351人次，发放成功率99.5%（居全省前列），社保卡占比99.9%，直接兑付到人到户，提升了群众的获得感和满意度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优化支出结构，保障重点事项开展。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bCs/>
          <w:color w:val="000000"/>
          <w:spacing w:val="10"/>
          <w:sz w:val="32"/>
          <w:szCs w:val="32"/>
        </w:rPr>
        <w:t>不遗余力保障新冠疫情防控。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开设疫情防控专项资金支付“绿色通道”，安排专人对接，坚持“急事急办、特事特办”，全年拨付疫情防控资金1089万元，有力保障疫情防控工作顺利开展。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1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以人为本</w:t>
      </w:r>
      <w:r>
        <w:rPr>
          <w:rFonts w:hint="default" w:ascii="Times New Roman" w:hAnsi="Times New Roman" w:eastAsia="仿宋_GB2312" w:cs="Times New Roman"/>
          <w:bCs/>
          <w:color w:val="000000"/>
          <w:spacing w:val="10"/>
          <w:sz w:val="32"/>
          <w:szCs w:val="32"/>
        </w:rPr>
        <w:t>助力老旧小区改造。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全年拨付城镇老旧小区改造资金3004万元，切实让人民群众居住环境得到了改善。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10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bCs/>
          <w:color w:val="000000"/>
          <w:spacing w:val="10"/>
          <w:sz w:val="32"/>
          <w:szCs w:val="32"/>
        </w:rPr>
        <w:t>凝心聚力保障灾后恢复重建。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全年拨付救灾资金2775万元，支持高标准农田、因灾倒损民房、交通、教育等77个灾后重建项目应开尽开、大头落地，全力帮助受灾群众渡过难关。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10"/>
          <w:sz w:val="32"/>
          <w:szCs w:val="32"/>
        </w:rPr>
        <w:t>四是</w:t>
      </w:r>
      <w:r>
        <w:rPr>
          <w:rFonts w:hint="default" w:ascii="Times New Roman" w:hAnsi="Times New Roman" w:eastAsia="仿宋_GB2312" w:cs="Times New Roman"/>
          <w:bCs/>
          <w:color w:val="000000"/>
          <w:spacing w:val="10"/>
          <w:sz w:val="32"/>
          <w:szCs w:val="32"/>
        </w:rPr>
        <w:t>多措并举激发消费市场活力。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依托“春暖新乡”、“豫美新乡·乐享实惠”等促消费活动，投入区级财政资金1122万元，推动财政资金与社会资本形成合力，释放政府补贴、企业优惠、打折减免等政策叠加效应，激发辖区汽车、家电、家具等商品的市场消费潜力，拉动消费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4.9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亿元。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五是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齐抓共管落实惠企助企政策。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结合“万人助万企”活动，积极兑现惠企奖补资金449万元，主要是规上企业满负荷生产185万元、灾后重建51万元、“三大改造”奖励34万元，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帮助企业纾困解难，推动惠企政策“精准滴灌”“直达快享”。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六是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突出重点服务保障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城市更新。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投入城市建设项目资金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7119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万元，重点支持打通断头路、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S309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zh-CN"/>
        </w:rPr>
        <w:t>长济线卫滨境段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等工程，城市面貌焕然一新。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4.深化改革创新，提升财政治理水平。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一是预算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管理一体化加速推进。积极推动资产、债务、绩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效、政府采购预算融入管理主题流程，实现财政预算管理水平现代化。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全面实施预算绩效管理改革。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坚持“先谋事后排钱”的理念，建立健全全方位、全过程、全覆盖的预算绩效一体化管理体系，实现“事前有评估、事中有监控、事后有评价”的绩效管理目标。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/>
        </w:rPr>
        <w:t>三是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zh-CN"/>
        </w:rPr>
        <w:t>牢固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zh-CN"/>
        </w:rPr>
        <w:t>树立过“紧日子”思想。认真落实中央八项规定精神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和国家相关规定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大力压减非急需、非刚性支出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zh-CN"/>
        </w:rPr>
        <w:t>，进一步压缩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zh-CN"/>
        </w:rPr>
        <w:t>三公”经费、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培训费和会议费，“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zh-CN"/>
        </w:rPr>
        <w:t>三公”经费支出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132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zh-CN"/>
        </w:rPr>
        <w:t>万元，同比下降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zh-CN"/>
        </w:rPr>
        <w:t>%。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四是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持续推进预决算公开。进一步细化预决算公开内容，提高财政资金分配和使用透明度，除涉密部门外全区各预算单位全部实现预决算信息公开。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五是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加大投资评审和政府采购审核力度。进一步简化政府采购程序，提高采购效率。全年共审批采购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235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14336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万元，节约资金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2004万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元，节约率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%；完善评审工作流程，节约使用财政资金，全年共评审政府投资项目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17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6479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万元，审减资金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376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万元，审减率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5.8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zh-CN"/>
        </w:rPr>
        <w:t>六是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zh-CN"/>
        </w:rPr>
        <w:t>落实好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中央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zh-CN"/>
        </w:rPr>
        <w:t>直达资金政策。建立工作机制，成立工作专班，完善工作流程，确保上级补助资金直达基层惠企利民。全年共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收到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zh-CN"/>
        </w:rPr>
        <w:t>中央直达资金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15525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zh-CN"/>
        </w:rPr>
        <w:t>万元，支付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13781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zh-CN"/>
        </w:rPr>
        <w:t>万元，支出进度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88.8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zh-CN"/>
        </w:rPr>
        <w:t>%。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七是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10"/>
          <w:sz w:val="32"/>
          <w:szCs w:val="32"/>
        </w:rPr>
        <w:t>持续优化营商环境。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10"/>
          <w:sz w:val="32"/>
          <w:szCs w:val="32"/>
        </w:rPr>
        <w:t>深化“一网通办”，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持续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推进财政电子票据和电子化支付改革。让数据“多跑路”，群众“少跑腿”，切实将“放管服效”改革落到实处。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</w:rPr>
        <w:t>5.加强财政监管，防范资金安全风险。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加强财政系统内部控制建设。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推进政府债务、衔接资金、直达资金、“一卡通”等监控平台系统运行，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进一步发挥财政监督职能。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开展财政监督检查。重点开展预决算公开、会计信息质量检查等工作，查处问题资金6.17万元，规范了财务行为和财经秩序。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加强地方政府债务管理。严控违法违规举债担保，完善政府性债务动态监控机制和违法违规融资举债联合防控机制。</w:t>
      </w:r>
    </w:p>
    <w:p>
      <w:pPr>
        <w:spacing w:line="560" w:lineRule="exact"/>
        <w:ind w:firstLine="420" w:firstLineChars="200"/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EE9"/>
    <w:rsid w:val="00032EE9"/>
    <w:rsid w:val="00150725"/>
    <w:rsid w:val="001E1DB2"/>
    <w:rsid w:val="006B1C7C"/>
    <w:rsid w:val="007202E1"/>
    <w:rsid w:val="00970635"/>
    <w:rsid w:val="00B809DB"/>
    <w:rsid w:val="00D76C38"/>
    <w:rsid w:val="00E837A2"/>
    <w:rsid w:val="00FE5F3C"/>
    <w:rsid w:val="18E87BF4"/>
    <w:rsid w:val="20D34961"/>
    <w:rsid w:val="286A5A9E"/>
    <w:rsid w:val="78371C01"/>
    <w:rsid w:val="7A63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252</Words>
  <Characters>1438</Characters>
  <Lines>11</Lines>
  <Paragraphs>3</Paragraphs>
  <ScaleCrop>false</ScaleCrop>
  <LinksUpToDate>false</LinksUpToDate>
  <CharactersWithSpaces>1687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2021-09-03T07:33:00Z</dcterms:created>
  <dc:creator>微软用户</dc:creator>
  <cp:lastModifiedBy>Administrator</cp:lastModifiedBy>
  <dcterms:modified xsi:type="dcterms:W3CDTF">2023-11-07T00:10:51Z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