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0"/>
          <w:szCs w:val="30"/>
          <w:lang w:val="en-US" w:eastAsia="zh-CN"/>
        </w:rPr>
      </w:pPr>
      <w:r>
        <w:rPr>
          <w:rStyle w:val="9"/>
          <w:rFonts w:hint="eastAsia" w:ascii="仿宋" w:hAnsi="仿宋" w:eastAsia="仿宋" w:cs="仿宋"/>
          <w:b/>
          <w:bCs/>
          <w:sz w:val="30"/>
          <w:szCs w:val="30"/>
        </w:rPr>
        <w:t>关于拟</w:t>
      </w:r>
      <w:r>
        <w:rPr>
          <w:rStyle w:val="9"/>
          <w:rFonts w:hint="eastAsia" w:ascii="仿宋" w:hAnsi="仿宋" w:eastAsia="仿宋" w:cs="仿宋"/>
          <w:b/>
          <w:bCs/>
          <w:sz w:val="30"/>
          <w:szCs w:val="30"/>
          <w:lang w:eastAsia="zh-CN"/>
        </w:rPr>
        <w:t>对</w:t>
      </w:r>
      <w:r>
        <w:rPr>
          <w:rFonts w:hint="eastAsia" w:ascii="仿宋" w:hAnsi="仿宋" w:eastAsia="仿宋" w:cs="仿宋"/>
          <w:b/>
          <w:bCs/>
          <w:sz w:val="30"/>
          <w:szCs w:val="30"/>
          <w:lang w:val="en-US" w:eastAsia="zh-CN"/>
        </w:rPr>
        <w:t>河南永创玻纤复材有限公司技改项目</w:t>
      </w:r>
    </w:p>
    <w:p>
      <w:pPr>
        <w:jc w:val="center"/>
        <w:rPr>
          <w:rStyle w:val="9"/>
          <w:rFonts w:hint="eastAsia" w:ascii="仿宋" w:hAnsi="仿宋" w:eastAsia="仿宋" w:cs="仿宋"/>
          <w:b/>
          <w:bCs/>
          <w:sz w:val="30"/>
          <w:szCs w:val="30"/>
        </w:rPr>
      </w:pPr>
      <w:r>
        <w:rPr>
          <w:rStyle w:val="9"/>
          <w:rFonts w:hint="eastAsia" w:ascii="仿宋" w:hAnsi="仿宋" w:eastAsia="仿宋" w:cs="仿宋"/>
          <w:b/>
          <w:bCs/>
          <w:sz w:val="30"/>
          <w:szCs w:val="30"/>
        </w:rPr>
        <w:t>环境影响评价文件作出审批意见的公示</w:t>
      </w:r>
    </w:p>
    <w:p>
      <w:pPr>
        <w:widowControl/>
        <w:snapToGrid w:val="0"/>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根据建设项目环境影响评价审批程序的有关规定，经审议，我局拟对项目环境影响评价文件作出审批意见。为保证审批意见的严肃性和公正性，现将各建设项目环境影响评价文件的基本情况予以公示。如有异议，请在自本公告发布之日起3个工作日内反馈我局环评科。</w:t>
      </w:r>
    </w:p>
    <w:p>
      <w:pPr>
        <w:widowControl/>
        <w:spacing w:line="330" w:lineRule="atLeast"/>
        <w:jc w:val="left"/>
        <w:rPr>
          <w:rFonts w:hint="eastAsia" w:ascii="仿宋" w:hAnsi="仿宋" w:eastAsia="仿宋" w:cs="仿宋"/>
          <w:kern w:val="0"/>
          <w:sz w:val="28"/>
          <w:szCs w:val="28"/>
        </w:rPr>
      </w:pPr>
      <w:r>
        <w:rPr>
          <w:rFonts w:hint="eastAsia" w:ascii="仿宋" w:hAnsi="仿宋" w:eastAsia="仿宋" w:cs="仿宋"/>
          <w:kern w:val="0"/>
          <w:sz w:val="28"/>
          <w:szCs w:val="28"/>
        </w:rPr>
        <w:t>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电话和传真：</w:t>
      </w:r>
      <w:r>
        <w:rPr>
          <w:rFonts w:hint="eastAsia" w:ascii="仿宋" w:hAnsi="仿宋" w:eastAsia="仿宋" w:cs="仿宋"/>
          <w:sz w:val="28"/>
          <w:szCs w:val="28"/>
        </w:rPr>
        <w:t>0373-2644110</w:t>
      </w:r>
    </w:p>
    <w:p>
      <w:pPr>
        <w:widowControl/>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通讯地址：</w:t>
      </w:r>
      <w:r>
        <w:rPr>
          <w:rFonts w:hint="eastAsia" w:ascii="仿宋" w:hAnsi="仿宋" w:eastAsia="仿宋" w:cs="仿宋"/>
          <w:sz w:val="28"/>
          <w:szCs w:val="28"/>
        </w:rPr>
        <w:t>新乡市人民路 138 号</w:t>
      </w:r>
      <w:r>
        <w:rPr>
          <w:rFonts w:hint="eastAsia" w:ascii="仿宋" w:hAnsi="仿宋" w:eastAsia="仿宋" w:cs="仿宋"/>
          <w:sz w:val="28"/>
          <w:szCs w:val="28"/>
          <w:lang w:val="en-US" w:eastAsia="zh-CN"/>
        </w:rPr>
        <w:t>(</w:t>
      </w:r>
      <w:r>
        <w:rPr>
          <w:rFonts w:hint="eastAsia" w:ascii="仿宋" w:hAnsi="仿宋" w:eastAsia="仿宋" w:cs="仿宋"/>
          <w:kern w:val="0"/>
          <w:sz w:val="28"/>
          <w:szCs w:val="28"/>
        </w:rPr>
        <w:t>邮编453000）</w:t>
      </w:r>
    </w:p>
    <w:p>
      <w:pPr>
        <w:widowControl/>
        <w:snapToGrid w:val="0"/>
        <w:spacing w:before="75" w:after="75"/>
        <w:ind w:firstLine="560" w:firstLineChars="200"/>
        <w:jc w:val="left"/>
        <w:rPr>
          <w:rFonts w:hint="eastAsia" w:ascii="仿宋" w:hAnsi="仿宋" w:eastAsia="仿宋" w:cs="仿宋"/>
          <w:kern w:val="0"/>
          <w:sz w:val="28"/>
          <w:szCs w:val="28"/>
        </w:rPr>
      </w:pPr>
      <w:r>
        <w:rPr>
          <w:rFonts w:hint="eastAsia" w:ascii="仿宋" w:hAnsi="仿宋" w:eastAsia="仿宋" w:cs="仿宋"/>
          <w:color w:val="262626"/>
          <w:kern w:val="0"/>
          <w:sz w:val="28"/>
          <w:szCs w:val="28"/>
        </w:rPr>
        <w:t>听证告知：依据《中华人民共和国行政许可法》，自公示起五日内申请人、有重大利益关系的利害关系人可对以下拟作出的建设项目环境影响评价文件批复决定要求听证。</w:t>
      </w:r>
    </w:p>
    <w:p>
      <w:pPr>
        <w:widowControl/>
        <w:spacing w:before="100" w:beforeAutospacing="1" w:after="100" w:afterAutospacing="1" w:line="240" w:lineRule="atLeast"/>
        <w:jc w:val="center"/>
        <w:rPr>
          <w:rFonts w:hint="eastAsia" w:ascii="仿宋" w:hAnsi="仿宋" w:eastAsia="仿宋" w:cs="仿宋"/>
          <w:kern w:val="0"/>
          <w:sz w:val="24"/>
        </w:rPr>
      </w:pPr>
      <w:r>
        <w:rPr>
          <w:rFonts w:hint="eastAsia" w:ascii="仿宋" w:hAnsi="仿宋" w:eastAsia="仿宋" w:cs="仿宋"/>
          <w:kern w:val="0"/>
          <w:sz w:val="24"/>
        </w:rPr>
        <w:t>一、拟审批的建设项目环境影响报告书（表）</w:t>
      </w:r>
    </w:p>
    <w:tbl>
      <w:tblPr>
        <w:tblStyle w:val="6"/>
        <w:tblW w:w="1352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889"/>
        <w:gridCol w:w="1134"/>
        <w:gridCol w:w="1307"/>
        <w:gridCol w:w="1190"/>
        <w:gridCol w:w="1117"/>
        <w:gridCol w:w="1772"/>
        <w:gridCol w:w="5132"/>
        <w:gridCol w:w="9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11" w:hRule="atLeast"/>
          <w:jc w:val="center"/>
        </w:trPr>
        <w:tc>
          <w:tcPr>
            <w:tcW w:w="889" w:type="dxa"/>
            <w:noWrap w:val="0"/>
            <w:vAlign w:val="center"/>
          </w:tcPr>
          <w:p>
            <w:pPr>
              <w:widowControl/>
              <w:spacing w:before="100" w:beforeAutospacing="1" w:after="100" w:afterAutospacing="1"/>
              <w:jc w:val="center"/>
              <w:rPr>
                <w:rFonts w:hint="eastAsia" w:ascii="仿宋" w:hAnsi="仿宋" w:eastAsia="仿宋" w:cs="仿宋"/>
                <w:kern w:val="0"/>
                <w:sz w:val="24"/>
              </w:rPr>
            </w:pPr>
            <w:r>
              <w:rPr>
                <w:rFonts w:hint="eastAsia" w:ascii="仿宋" w:hAnsi="仿宋" w:eastAsia="仿宋" w:cs="仿宋"/>
                <w:b/>
                <w:bCs/>
                <w:kern w:val="0"/>
                <w:sz w:val="24"/>
              </w:rPr>
              <w:t>序号</w:t>
            </w:r>
          </w:p>
        </w:tc>
        <w:tc>
          <w:tcPr>
            <w:tcW w:w="1134" w:type="dxa"/>
            <w:noWrap w:val="0"/>
            <w:vAlign w:val="center"/>
          </w:tcPr>
          <w:p>
            <w:pPr>
              <w:widowControl/>
              <w:spacing w:before="100" w:beforeAutospacing="1" w:after="100" w:afterAutospacing="1"/>
              <w:jc w:val="center"/>
              <w:rPr>
                <w:rFonts w:hint="eastAsia" w:ascii="仿宋" w:hAnsi="仿宋" w:eastAsia="仿宋" w:cs="仿宋"/>
                <w:kern w:val="0"/>
                <w:sz w:val="24"/>
              </w:rPr>
            </w:pPr>
            <w:r>
              <w:rPr>
                <w:rFonts w:hint="eastAsia" w:ascii="仿宋" w:hAnsi="仿宋" w:eastAsia="仿宋" w:cs="仿宋"/>
                <w:b/>
                <w:bCs/>
                <w:kern w:val="0"/>
                <w:sz w:val="24"/>
              </w:rPr>
              <w:t>建设单位</w:t>
            </w:r>
          </w:p>
        </w:tc>
        <w:tc>
          <w:tcPr>
            <w:tcW w:w="1307" w:type="dxa"/>
            <w:noWrap w:val="0"/>
            <w:vAlign w:val="center"/>
          </w:tcPr>
          <w:p>
            <w:pPr>
              <w:widowControl/>
              <w:spacing w:before="100" w:beforeAutospacing="1" w:after="100" w:afterAutospacing="1"/>
              <w:jc w:val="center"/>
              <w:rPr>
                <w:rFonts w:hint="eastAsia" w:ascii="仿宋" w:hAnsi="仿宋" w:eastAsia="仿宋" w:cs="仿宋"/>
                <w:kern w:val="0"/>
                <w:sz w:val="24"/>
              </w:rPr>
            </w:pPr>
            <w:r>
              <w:rPr>
                <w:rFonts w:hint="eastAsia" w:ascii="仿宋" w:hAnsi="仿宋" w:eastAsia="仿宋" w:cs="仿宋"/>
                <w:b/>
                <w:bCs/>
                <w:kern w:val="0"/>
                <w:sz w:val="24"/>
              </w:rPr>
              <w:t>项目名称</w:t>
            </w:r>
          </w:p>
        </w:tc>
        <w:tc>
          <w:tcPr>
            <w:tcW w:w="1190" w:type="dxa"/>
            <w:noWrap w:val="0"/>
            <w:vAlign w:val="center"/>
          </w:tcPr>
          <w:p>
            <w:pPr>
              <w:widowControl/>
              <w:spacing w:before="100" w:beforeAutospacing="1" w:after="100" w:afterAutospacing="1"/>
              <w:jc w:val="center"/>
              <w:rPr>
                <w:rFonts w:hint="eastAsia" w:ascii="仿宋" w:hAnsi="仿宋" w:eastAsia="仿宋" w:cs="仿宋"/>
                <w:kern w:val="0"/>
                <w:sz w:val="24"/>
              </w:rPr>
            </w:pPr>
            <w:r>
              <w:rPr>
                <w:rFonts w:hint="eastAsia" w:ascii="仿宋" w:hAnsi="仿宋" w:eastAsia="仿宋" w:cs="仿宋"/>
                <w:b/>
                <w:bCs/>
                <w:kern w:val="0"/>
                <w:sz w:val="24"/>
              </w:rPr>
              <w:t>建设地点</w:t>
            </w:r>
          </w:p>
        </w:tc>
        <w:tc>
          <w:tcPr>
            <w:tcW w:w="1117" w:type="dxa"/>
            <w:noWrap w:val="0"/>
            <w:vAlign w:val="center"/>
          </w:tcPr>
          <w:p>
            <w:pPr>
              <w:widowControl/>
              <w:spacing w:before="100" w:beforeAutospacing="1" w:after="100" w:afterAutospacing="1"/>
              <w:jc w:val="center"/>
              <w:rPr>
                <w:rFonts w:hint="eastAsia" w:ascii="仿宋" w:hAnsi="仿宋" w:eastAsia="仿宋" w:cs="仿宋"/>
                <w:kern w:val="0"/>
                <w:sz w:val="24"/>
              </w:rPr>
            </w:pPr>
            <w:r>
              <w:rPr>
                <w:rFonts w:hint="eastAsia" w:ascii="仿宋" w:hAnsi="仿宋" w:eastAsia="仿宋" w:cs="仿宋"/>
                <w:b/>
                <w:bCs/>
                <w:kern w:val="0"/>
                <w:sz w:val="24"/>
              </w:rPr>
              <w:t>环境影响评价机构</w:t>
            </w:r>
          </w:p>
        </w:tc>
        <w:tc>
          <w:tcPr>
            <w:tcW w:w="1772" w:type="dxa"/>
            <w:noWrap w:val="0"/>
            <w:vAlign w:val="center"/>
          </w:tcPr>
          <w:p>
            <w:pPr>
              <w:widowControl/>
              <w:spacing w:before="100" w:beforeAutospacing="1" w:after="100" w:afterAutospacing="1"/>
              <w:jc w:val="center"/>
              <w:rPr>
                <w:rFonts w:hint="eastAsia" w:ascii="仿宋" w:hAnsi="仿宋" w:eastAsia="仿宋" w:cs="仿宋"/>
                <w:kern w:val="0"/>
                <w:sz w:val="24"/>
              </w:rPr>
            </w:pPr>
            <w:r>
              <w:rPr>
                <w:rFonts w:hint="eastAsia" w:ascii="仿宋" w:hAnsi="仿宋" w:eastAsia="仿宋" w:cs="仿宋"/>
                <w:b/>
                <w:bCs/>
                <w:kern w:val="0"/>
                <w:sz w:val="24"/>
              </w:rPr>
              <w:t>建设项目概况</w:t>
            </w:r>
          </w:p>
        </w:tc>
        <w:tc>
          <w:tcPr>
            <w:tcW w:w="5132" w:type="dxa"/>
            <w:noWrap w:val="0"/>
            <w:vAlign w:val="center"/>
          </w:tcPr>
          <w:p>
            <w:pPr>
              <w:pStyle w:val="5"/>
              <w:jc w:val="center"/>
              <w:rPr>
                <w:rFonts w:hint="eastAsia" w:ascii="仿宋" w:hAnsi="仿宋" w:eastAsia="仿宋" w:cs="仿宋"/>
              </w:rPr>
            </w:pPr>
            <w:r>
              <w:rPr>
                <w:rStyle w:val="9"/>
                <w:rFonts w:hint="eastAsia" w:ascii="仿宋" w:hAnsi="仿宋" w:eastAsia="仿宋" w:cs="仿宋"/>
              </w:rPr>
              <w:t>主要环境影响及预防或减轻不良环境影响的对策和措施</w:t>
            </w:r>
          </w:p>
        </w:tc>
        <w:tc>
          <w:tcPr>
            <w:tcW w:w="983" w:type="dxa"/>
            <w:noWrap w:val="0"/>
            <w:vAlign w:val="center"/>
          </w:tcPr>
          <w:p>
            <w:pPr>
              <w:widowControl/>
              <w:spacing w:before="100" w:beforeAutospacing="1" w:after="100" w:afterAutospacing="1"/>
              <w:jc w:val="center"/>
              <w:rPr>
                <w:rFonts w:hint="eastAsia" w:ascii="仿宋" w:hAnsi="仿宋" w:eastAsia="仿宋" w:cs="仿宋"/>
                <w:kern w:val="0"/>
                <w:sz w:val="24"/>
              </w:rPr>
            </w:pPr>
            <w:r>
              <w:rPr>
                <w:rFonts w:hint="eastAsia" w:ascii="仿宋" w:hAnsi="仿宋" w:eastAsia="仿宋" w:cs="仿宋"/>
                <w:b/>
                <w:bCs/>
                <w:kern w:val="0"/>
                <w:sz w:val="24"/>
              </w:rPr>
              <w:t>公众参与情况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80" w:hRule="atLeast"/>
          <w:jc w:val="center"/>
        </w:trPr>
        <w:tc>
          <w:tcPr>
            <w:tcW w:w="889" w:type="dxa"/>
            <w:tcBorders>
              <w:top w:val="single" w:color="auto" w:sz="4" w:space="0"/>
              <w:bottom w:val="single" w:color="auto" w:sz="4" w:space="0"/>
            </w:tcBorders>
            <w:noWrap w:val="0"/>
            <w:vAlign w:val="top"/>
          </w:tcPr>
          <w:p>
            <w:pPr>
              <w:widowControl/>
              <w:spacing w:line="330" w:lineRule="atLeast"/>
              <w:jc w:val="left"/>
              <w:rPr>
                <w:rFonts w:hint="eastAsia" w:ascii="仿宋" w:hAnsi="仿宋" w:eastAsia="仿宋" w:cs="仿宋"/>
                <w:color w:val="2A2A2A"/>
                <w:szCs w:val="21"/>
              </w:rPr>
            </w:pPr>
            <w:r>
              <w:rPr>
                <w:rFonts w:hint="eastAsia" w:ascii="仿宋" w:hAnsi="仿宋" w:eastAsia="仿宋" w:cs="仿宋"/>
                <w:color w:val="2A2A2A"/>
                <w:szCs w:val="21"/>
              </w:rPr>
              <w:t>1</w:t>
            </w:r>
          </w:p>
        </w:tc>
        <w:tc>
          <w:tcPr>
            <w:tcW w:w="1134" w:type="dxa"/>
            <w:tcBorders>
              <w:top w:val="single" w:color="auto" w:sz="4" w:space="0"/>
              <w:bottom w:val="single" w:color="auto" w:sz="4" w:space="0"/>
            </w:tcBorders>
            <w:noWrap w:val="0"/>
            <w:vAlign w:val="top"/>
          </w:tcPr>
          <w:p>
            <w:pPr>
              <w:widowControl/>
              <w:spacing w:line="330" w:lineRule="atLeast"/>
              <w:jc w:val="left"/>
              <w:rPr>
                <w:rFonts w:hint="eastAsia" w:ascii="仿宋" w:hAnsi="仿宋" w:eastAsia="仿宋" w:cs="仿宋"/>
                <w:b w:val="0"/>
                <w:bCs w:val="0"/>
                <w:color w:val="2A2A2A"/>
                <w:sz w:val="24"/>
                <w:szCs w:val="24"/>
                <w:lang w:val="en-US" w:eastAsia="zh-CN"/>
              </w:rPr>
            </w:pPr>
            <w:r>
              <w:rPr>
                <w:rFonts w:hint="eastAsia" w:ascii="仿宋" w:hAnsi="仿宋" w:eastAsia="仿宋" w:cs="仿宋"/>
                <w:b w:val="0"/>
                <w:bCs w:val="0"/>
                <w:color w:val="2A2A2A"/>
                <w:sz w:val="24"/>
                <w:szCs w:val="24"/>
                <w:lang w:val="en-US" w:eastAsia="zh-CN"/>
              </w:rPr>
              <w:t>河南永创玻纤复材有限公司</w:t>
            </w:r>
          </w:p>
        </w:tc>
        <w:tc>
          <w:tcPr>
            <w:tcW w:w="1307" w:type="dxa"/>
            <w:tcBorders>
              <w:top w:val="single" w:color="auto" w:sz="4" w:space="0"/>
              <w:bottom w:val="single" w:color="auto" w:sz="4" w:space="0"/>
            </w:tcBorders>
            <w:noWrap w:val="0"/>
            <w:vAlign w:val="top"/>
          </w:tcPr>
          <w:p>
            <w:pPr>
              <w:widowControl/>
              <w:spacing w:line="330" w:lineRule="atLeast"/>
              <w:jc w:val="left"/>
              <w:rPr>
                <w:rFonts w:hint="eastAsia" w:ascii="仿宋" w:hAnsi="仿宋" w:eastAsia="仿宋" w:cs="仿宋"/>
                <w:b w:val="0"/>
                <w:bCs w:val="0"/>
                <w:color w:val="2A2A2A"/>
                <w:sz w:val="24"/>
                <w:szCs w:val="24"/>
                <w:lang w:val="en-US" w:eastAsia="zh-CN"/>
              </w:rPr>
            </w:pPr>
            <w:r>
              <w:rPr>
                <w:rFonts w:hint="eastAsia" w:ascii="仿宋" w:hAnsi="仿宋" w:eastAsia="仿宋" w:cs="仿宋"/>
                <w:b w:val="0"/>
                <w:bCs w:val="0"/>
                <w:color w:val="2A2A2A"/>
                <w:sz w:val="24"/>
                <w:szCs w:val="24"/>
                <w:lang w:val="en-US" w:eastAsia="zh-CN"/>
              </w:rPr>
              <w:t>技改项目</w:t>
            </w:r>
          </w:p>
        </w:tc>
        <w:tc>
          <w:tcPr>
            <w:tcW w:w="1190" w:type="dxa"/>
            <w:tcBorders>
              <w:top w:val="single" w:color="auto" w:sz="4" w:space="0"/>
              <w:bottom w:val="single" w:color="auto" w:sz="4" w:space="0"/>
            </w:tcBorders>
            <w:noWrap w:val="0"/>
            <w:vAlign w:val="top"/>
          </w:tcPr>
          <w:p>
            <w:pPr>
              <w:widowControl/>
              <w:spacing w:line="330" w:lineRule="atLeast"/>
              <w:jc w:val="left"/>
              <w:rPr>
                <w:rFonts w:hint="eastAsia" w:ascii="仿宋" w:hAnsi="仿宋" w:eastAsia="仿宋" w:cs="仿宋"/>
                <w:b w:val="0"/>
                <w:bCs w:val="0"/>
                <w:color w:val="2A2A2A"/>
                <w:sz w:val="24"/>
                <w:szCs w:val="24"/>
                <w:lang w:val="en-US" w:eastAsia="zh-CN"/>
              </w:rPr>
            </w:pPr>
            <w:r>
              <w:rPr>
                <w:rFonts w:hint="eastAsia" w:ascii="仿宋" w:hAnsi="仿宋" w:eastAsia="仿宋" w:cs="仿宋"/>
                <w:b w:val="0"/>
                <w:bCs w:val="0"/>
                <w:color w:val="2A2A2A"/>
                <w:sz w:val="24"/>
                <w:szCs w:val="24"/>
                <w:lang w:val="en-US" w:eastAsia="zh-CN"/>
              </w:rPr>
              <w:t>新乡市卫滨区平原镇中召村北</w:t>
            </w:r>
          </w:p>
        </w:tc>
        <w:tc>
          <w:tcPr>
            <w:tcW w:w="1117" w:type="dxa"/>
            <w:tcBorders>
              <w:top w:val="single" w:color="auto" w:sz="4" w:space="0"/>
              <w:bottom w:val="single" w:color="auto" w:sz="4" w:space="0"/>
            </w:tcBorders>
            <w:noWrap w:val="0"/>
            <w:vAlign w:val="top"/>
          </w:tcPr>
          <w:p>
            <w:pPr>
              <w:widowControl/>
              <w:spacing w:line="330" w:lineRule="atLeast"/>
              <w:jc w:val="left"/>
              <w:rPr>
                <w:rFonts w:hint="eastAsia" w:ascii="仿宋" w:hAnsi="仿宋" w:eastAsia="仿宋" w:cs="仿宋"/>
                <w:b w:val="0"/>
                <w:bCs w:val="0"/>
                <w:color w:val="2A2A2A"/>
                <w:sz w:val="24"/>
                <w:szCs w:val="24"/>
                <w:lang w:val="en-US" w:eastAsia="zh-CN"/>
              </w:rPr>
            </w:pPr>
            <w:r>
              <w:rPr>
                <w:rFonts w:hint="eastAsia" w:ascii="仿宋" w:hAnsi="仿宋" w:eastAsia="仿宋" w:cs="仿宋"/>
                <w:b w:val="0"/>
                <w:bCs w:val="0"/>
                <w:color w:val="2A2A2A"/>
                <w:sz w:val="24"/>
                <w:szCs w:val="24"/>
                <w:lang w:val="en-US" w:eastAsia="zh-CN"/>
              </w:rPr>
              <w:t>东莞市德昭环保科技有限公司</w:t>
            </w:r>
          </w:p>
        </w:tc>
        <w:tc>
          <w:tcPr>
            <w:tcW w:w="1772" w:type="dxa"/>
            <w:tcBorders>
              <w:top w:val="single" w:color="auto" w:sz="4" w:space="0"/>
              <w:bottom w:val="single" w:color="auto" w:sz="4" w:space="0"/>
            </w:tcBorders>
            <w:noWrap w:val="0"/>
            <w:vAlign w:val="top"/>
          </w:tcPr>
          <w:p>
            <w:pPr>
              <w:widowControl/>
              <w:spacing w:line="330" w:lineRule="atLeast"/>
              <w:jc w:val="left"/>
              <w:rPr>
                <w:rFonts w:hint="eastAsia" w:ascii="仿宋" w:hAnsi="仿宋" w:eastAsia="仿宋" w:cs="仿宋"/>
                <w:b w:val="0"/>
                <w:bCs w:val="0"/>
                <w:color w:val="2A2A2A"/>
                <w:sz w:val="24"/>
                <w:szCs w:val="24"/>
                <w:lang w:val="en-US" w:eastAsia="zh-CN"/>
              </w:rPr>
            </w:pPr>
            <w:r>
              <w:rPr>
                <w:rFonts w:hint="eastAsia" w:ascii="仿宋" w:hAnsi="仿宋" w:eastAsia="仿宋" w:cs="仿宋"/>
                <w:b w:val="0"/>
                <w:bCs w:val="0"/>
                <w:color w:val="2A2A2A"/>
                <w:sz w:val="24"/>
                <w:szCs w:val="24"/>
                <w:lang w:val="en-US" w:eastAsia="zh-CN"/>
              </w:rPr>
              <w:t>项目总投资</w:t>
            </w:r>
            <w:r>
              <w:rPr>
                <w:rFonts w:hint="eastAsia" w:ascii="仿宋" w:hAnsi="仿宋" w:eastAsia="仿宋" w:cs="仿宋"/>
                <w:b w:val="0"/>
                <w:bCs w:val="0"/>
                <w:color w:val="2A2A2A"/>
                <w:sz w:val="24"/>
                <w:szCs w:val="24"/>
                <w:lang w:val="en-US" w:eastAsia="zh-CN"/>
              </w:rPr>
              <w:t>31.77万元，在新乡市卫滨区平原镇中召村北进行技改</w:t>
            </w:r>
          </w:p>
        </w:tc>
        <w:tc>
          <w:tcPr>
            <w:tcW w:w="5132" w:type="dxa"/>
            <w:tcBorders>
              <w:top w:val="single" w:color="auto" w:sz="4" w:space="0"/>
              <w:bottom w:val="single" w:color="auto" w:sz="4" w:space="0"/>
            </w:tcBorders>
            <w:noWrap w:val="0"/>
            <w:vAlign w:val="top"/>
          </w:tcPr>
          <w:p>
            <w:pPr>
              <w:widowControl/>
              <w:spacing w:line="330" w:lineRule="atLeast"/>
              <w:jc w:val="left"/>
              <w:rPr>
                <w:rFonts w:hint="eastAsia" w:ascii="仿宋" w:hAnsi="仿宋" w:eastAsia="仿宋" w:cs="仿宋"/>
                <w:b w:val="0"/>
                <w:bCs w:val="0"/>
                <w:color w:val="2A2A2A"/>
                <w:sz w:val="24"/>
                <w:szCs w:val="24"/>
                <w:lang w:val="en-US" w:eastAsia="zh-CN"/>
              </w:rPr>
            </w:pPr>
            <w:r>
              <w:rPr>
                <w:rFonts w:hint="eastAsia" w:ascii="仿宋" w:hAnsi="仿宋" w:eastAsia="仿宋" w:cs="仿宋"/>
                <w:b w:val="0"/>
                <w:bCs w:val="0"/>
                <w:color w:val="2A2A2A"/>
                <w:sz w:val="24"/>
                <w:szCs w:val="24"/>
                <w:lang w:val="en-US" w:eastAsia="zh-CN"/>
              </w:rPr>
              <w:t>1、废水：</w:t>
            </w:r>
            <w:r>
              <w:rPr>
                <w:rFonts w:hint="default" w:ascii="仿宋" w:hAnsi="仿宋" w:eastAsia="仿宋" w:cs="仿宋"/>
                <w:b w:val="0"/>
                <w:bCs w:val="0"/>
                <w:color w:val="2A2A2A"/>
                <w:sz w:val="24"/>
                <w:szCs w:val="24"/>
                <w:lang w:val="en-US" w:eastAsia="zh-CN"/>
              </w:rPr>
              <w:t>主要为</w:t>
            </w:r>
            <w:r>
              <w:rPr>
                <w:rFonts w:hint="eastAsia" w:ascii="仿宋" w:hAnsi="仿宋" w:eastAsia="仿宋" w:cs="仿宋"/>
                <w:b w:val="0"/>
                <w:bCs w:val="0"/>
                <w:color w:val="2A2A2A"/>
                <w:sz w:val="24"/>
                <w:szCs w:val="24"/>
                <w:lang w:val="en-US" w:eastAsia="zh-CN"/>
              </w:rPr>
              <w:t>机器冷却循环水和</w:t>
            </w:r>
            <w:r>
              <w:rPr>
                <w:rFonts w:hint="default" w:ascii="仿宋" w:hAnsi="仿宋" w:eastAsia="仿宋" w:cs="仿宋"/>
                <w:b w:val="0"/>
                <w:bCs w:val="0"/>
                <w:color w:val="2A2A2A"/>
                <w:sz w:val="24"/>
                <w:szCs w:val="24"/>
                <w:lang w:val="en-US" w:eastAsia="zh-CN"/>
              </w:rPr>
              <w:t>职工生活用水</w:t>
            </w:r>
            <w:r>
              <w:rPr>
                <w:rFonts w:hint="eastAsia" w:ascii="仿宋" w:hAnsi="仿宋" w:eastAsia="仿宋" w:cs="仿宋"/>
                <w:b w:val="0"/>
                <w:bCs w:val="0"/>
                <w:color w:val="2A2A2A"/>
                <w:sz w:val="24"/>
                <w:szCs w:val="24"/>
                <w:lang w:val="en-US" w:eastAsia="zh-CN"/>
              </w:rPr>
              <w:t>。机器冷却循环水用于机器工作发热的冷却，该部分水可循环使用；职工生活用水经化粪池处理后，定期清运，不外排。</w:t>
            </w:r>
          </w:p>
          <w:p>
            <w:pPr>
              <w:widowControl/>
              <w:spacing w:line="330" w:lineRule="atLeast"/>
              <w:jc w:val="left"/>
              <w:rPr>
                <w:rFonts w:hint="eastAsia" w:ascii="仿宋" w:hAnsi="仿宋" w:eastAsia="仿宋" w:cs="仿宋"/>
                <w:b w:val="0"/>
                <w:bCs w:val="0"/>
                <w:color w:val="2A2A2A"/>
                <w:sz w:val="24"/>
                <w:szCs w:val="24"/>
                <w:lang w:val="en-US" w:eastAsia="zh-CN"/>
              </w:rPr>
            </w:pPr>
            <w:r>
              <w:rPr>
                <w:rFonts w:hint="eastAsia" w:ascii="仿宋" w:hAnsi="仿宋" w:eastAsia="仿宋" w:cs="仿宋"/>
                <w:b w:val="0"/>
                <w:bCs w:val="0"/>
                <w:color w:val="2A2A2A"/>
                <w:sz w:val="24"/>
                <w:szCs w:val="24"/>
                <w:lang w:val="en-US" w:eastAsia="zh-CN"/>
              </w:rPr>
              <w:t>2、废气：</w:t>
            </w:r>
            <w:r>
              <w:rPr>
                <w:rFonts w:hint="default" w:ascii="仿宋" w:hAnsi="仿宋" w:eastAsia="仿宋" w:cs="仿宋"/>
                <w:b w:val="0"/>
                <w:bCs w:val="0"/>
                <w:color w:val="2A2A2A"/>
                <w:sz w:val="24"/>
                <w:szCs w:val="24"/>
                <w:lang w:val="en-US" w:eastAsia="zh-CN"/>
              </w:rPr>
              <w:t>废气主要是</w:t>
            </w:r>
            <w:r>
              <w:rPr>
                <w:rFonts w:hint="eastAsia" w:ascii="仿宋" w:hAnsi="仿宋" w:eastAsia="仿宋" w:cs="仿宋"/>
                <w:b w:val="0"/>
                <w:bCs w:val="0"/>
                <w:color w:val="2A2A2A"/>
                <w:sz w:val="24"/>
                <w:szCs w:val="24"/>
                <w:lang w:val="en-US" w:eastAsia="zh-CN"/>
              </w:rPr>
              <w:t>混合搅拌、切割工序产生的粉尘以及混合搅拌、挤压成型工序产生的非甲烷总烃、苯乙烯。搅拌机自配1台袋式除尘器，切割烟尘经袋式除尘器处理后与处理后搅拌粉尘一起经过</w:t>
            </w:r>
            <w:r>
              <w:rPr>
                <w:rFonts w:hint="default" w:ascii="仿宋" w:hAnsi="仿宋" w:eastAsia="仿宋" w:cs="仿宋"/>
                <w:b w:val="0"/>
                <w:bCs w:val="0"/>
                <w:color w:val="2A2A2A"/>
                <w:sz w:val="24"/>
                <w:szCs w:val="24"/>
                <w:lang w:val="en-US" w:eastAsia="zh-CN"/>
              </w:rPr>
              <w:t>活性炭吸附</w:t>
            </w:r>
            <w:r>
              <w:rPr>
                <w:rFonts w:hint="eastAsia" w:ascii="仿宋" w:hAnsi="仿宋" w:eastAsia="仿宋" w:cs="仿宋"/>
                <w:b w:val="0"/>
                <w:bCs w:val="0"/>
                <w:color w:val="2A2A2A"/>
                <w:sz w:val="24"/>
                <w:szCs w:val="24"/>
                <w:lang w:val="en-US" w:eastAsia="zh-CN"/>
              </w:rPr>
              <w:t>/脱附</w:t>
            </w:r>
            <w:r>
              <w:rPr>
                <w:rFonts w:hint="default" w:ascii="仿宋" w:hAnsi="仿宋" w:eastAsia="仿宋" w:cs="仿宋"/>
                <w:b w:val="0"/>
                <w:bCs w:val="0"/>
                <w:color w:val="2A2A2A"/>
                <w:sz w:val="24"/>
                <w:szCs w:val="24"/>
                <w:lang w:val="en-US" w:eastAsia="zh-CN"/>
              </w:rPr>
              <w:t>+</w:t>
            </w:r>
            <w:r>
              <w:rPr>
                <w:rFonts w:hint="eastAsia" w:ascii="仿宋" w:hAnsi="仿宋" w:eastAsia="仿宋" w:cs="仿宋"/>
                <w:b w:val="0"/>
                <w:bCs w:val="0"/>
                <w:color w:val="2A2A2A"/>
                <w:sz w:val="24"/>
                <w:szCs w:val="24"/>
                <w:lang w:val="en-US" w:eastAsia="zh-CN"/>
              </w:rPr>
              <w:t>催化燃烧处理后通过15m排气筒排放，</w:t>
            </w:r>
            <w:r>
              <w:rPr>
                <w:rFonts w:hint="default" w:ascii="仿宋" w:hAnsi="仿宋" w:eastAsia="仿宋" w:cs="仿宋"/>
                <w:b w:val="0"/>
                <w:bCs w:val="0"/>
                <w:color w:val="2A2A2A"/>
                <w:sz w:val="24"/>
                <w:szCs w:val="24"/>
                <w:lang w:val="en-US" w:eastAsia="zh-CN"/>
              </w:rPr>
              <w:t>排放情况满足《大气污染物综合排放标准》（GB16297-1996）表2颗粒物二级标准限值要求，同时满足《新乡市生态环境局关于进一步规范工业企业颗粒物排放限值的通知》（2020年7月31日）中“三、其它所有涉气工业企业排放口颗粒物排放浓度不高于10mg/</w:t>
            </w:r>
            <w:r>
              <w:rPr>
                <w:rFonts w:hint="eastAsia" w:ascii="仿宋" w:hAnsi="仿宋" w:eastAsia="仿宋" w:cs="仿宋"/>
                <w:b w:val="0"/>
                <w:bCs w:val="0"/>
                <w:color w:val="2A2A2A"/>
                <w:sz w:val="24"/>
                <w:szCs w:val="24"/>
                <w:lang w:val="en-US" w:eastAsia="zh-CN"/>
              </w:rPr>
              <w:t>m³、无组织0.5</w:t>
            </w:r>
            <w:r>
              <w:rPr>
                <w:rFonts w:hint="default" w:ascii="仿宋" w:hAnsi="仿宋" w:eastAsia="仿宋" w:cs="仿宋"/>
                <w:b w:val="0"/>
                <w:bCs w:val="0"/>
                <w:color w:val="2A2A2A"/>
                <w:sz w:val="24"/>
                <w:szCs w:val="24"/>
                <w:lang w:val="en-US" w:eastAsia="zh-CN"/>
              </w:rPr>
              <w:t>mg/</w:t>
            </w:r>
            <w:r>
              <w:rPr>
                <w:rFonts w:hint="eastAsia" w:ascii="仿宋" w:hAnsi="仿宋" w:eastAsia="仿宋" w:cs="仿宋"/>
                <w:b w:val="0"/>
                <w:bCs w:val="0"/>
                <w:color w:val="2A2A2A"/>
                <w:sz w:val="24"/>
                <w:szCs w:val="24"/>
                <w:lang w:val="en-US" w:eastAsia="zh-CN"/>
              </w:rPr>
              <w:t>m³</w:t>
            </w:r>
            <w:r>
              <w:rPr>
                <w:rFonts w:hint="default" w:ascii="仿宋" w:hAnsi="仿宋" w:eastAsia="仿宋" w:cs="仿宋"/>
                <w:b w:val="0"/>
                <w:bCs w:val="0"/>
                <w:color w:val="2A2A2A"/>
                <w:sz w:val="24"/>
                <w:szCs w:val="24"/>
                <w:lang w:val="en-US" w:eastAsia="zh-CN"/>
              </w:rPr>
              <w:t>”的标准限值要求</w:t>
            </w:r>
            <w:r>
              <w:rPr>
                <w:rFonts w:hint="eastAsia" w:ascii="仿宋" w:hAnsi="仿宋" w:eastAsia="仿宋" w:cs="仿宋"/>
                <w:b w:val="0"/>
                <w:bCs w:val="0"/>
                <w:color w:val="2A2A2A"/>
                <w:sz w:val="24"/>
                <w:szCs w:val="24"/>
                <w:lang w:val="en-US" w:eastAsia="zh-CN"/>
              </w:rPr>
              <w:t>；</w:t>
            </w:r>
            <w:r>
              <w:rPr>
                <w:rFonts w:hint="default" w:ascii="仿宋" w:hAnsi="仿宋" w:eastAsia="仿宋" w:cs="仿宋"/>
                <w:b w:val="0"/>
                <w:bCs w:val="0"/>
                <w:color w:val="2A2A2A"/>
                <w:sz w:val="24"/>
                <w:szCs w:val="24"/>
                <w:lang w:val="en-US" w:eastAsia="zh-CN"/>
              </w:rPr>
              <w:t>非甲烷总烃</w:t>
            </w:r>
            <w:r>
              <w:rPr>
                <w:rFonts w:hint="eastAsia" w:ascii="仿宋" w:hAnsi="仿宋" w:eastAsia="仿宋" w:cs="仿宋"/>
                <w:b w:val="0"/>
                <w:bCs w:val="0"/>
                <w:color w:val="2A2A2A"/>
                <w:sz w:val="24"/>
                <w:szCs w:val="24"/>
                <w:lang w:val="en-US" w:eastAsia="zh-CN"/>
              </w:rPr>
              <w:t>和苯乙烯经由集气罩收集，经</w:t>
            </w:r>
            <w:r>
              <w:rPr>
                <w:rFonts w:hint="default" w:ascii="仿宋" w:hAnsi="仿宋" w:eastAsia="仿宋" w:cs="仿宋"/>
                <w:b w:val="0"/>
                <w:bCs w:val="0"/>
                <w:color w:val="2A2A2A"/>
                <w:sz w:val="24"/>
                <w:szCs w:val="24"/>
                <w:lang w:val="en-US" w:eastAsia="zh-CN"/>
              </w:rPr>
              <w:t>活性炭吸附</w:t>
            </w:r>
            <w:r>
              <w:rPr>
                <w:rFonts w:hint="eastAsia" w:ascii="仿宋" w:hAnsi="仿宋" w:eastAsia="仿宋" w:cs="仿宋"/>
                <w:b w:val="0"/>
                <w:bCs w:val="0"/>
                <w:color w:val="2A2A2A"/>
                <w:sz w:val="24"/>
                <w:szCs w:val="24"/>
                <w:lang w:val="en-US" w:eastAsia="zh-CN"/>
              </w:rPr>
              <w:t>/脱附</w:t>
            </w:r>
            <w:r>
              <w:rPr>
                <w:rFonts w:hint="default" w:ascii="仿宋" w:hAnsi="仿宋" w:eastAsia="仿宋" w:cs="仿宋"/>
                <w:b w:val="0"/>
                <w:bCs w:val="0"/>
                <w:color w:val="2A2A2A"/>
                <w:sz w:val="24"/>
                <w:szCs w:val="24"/>
                <w:lang w:val="en-US" w:eastAsia="zh-CN"/>
              </w:rPr>
              <w:t>+</w:t>
            </w:r>
            <w:r>
              <w:rPr>
                <w:rFonts w:hint="eastAsia" w:ascii="仿宋" w:hAnsi="仿宋" w:eastAsia="仿宋" w:cs="仿宋"/>
                <w:b w:val="0"/>
                <w:bCs w:val="0"/>
                <w:color w:val="2A2A2A"/>
                <w:sz w:val="24"/>
                <w:szCs w:val="24"/>
                <w:lang w:val="en-US" w:eastAsia="zh-CN"/>
              </w:rPr>
              <w:t>催化燃烧处理后通过15m排气筒排放，非甲烷总烃</w:t>
            </w:r>
            <w:r>
              <w:rPr>
                <w:rFonts w:hint="default" w:ascii="仿宋" w:hAnsi="仿宋" w:eastAsia="仿宋" w:cs="仿宋"/>
                <w:b w:val="0"/>
                <w:bCs w:val="0"/>
                <w:color w:val="2A2A2A"/>
                <w:sz w:val="24"/>
                <w:szCs w:val="24"/>
                <w:lang w:val="en-US" w:eastAsia="zh-CN"/>
              </w:rPr>
              <w:t>排放满足豫环攻坚办[2017]162号文《关于全省开展工业企业挥发性有机物专项治理工作中排放建议值的通知》中</w:t>
            </w:r>
            <w:r>
              <w:rPr>
                <w:rFonts w:hint="eastAsia" w:ascii="仿宋" w:hAnsi="仿宋" w:eastAsia="仿宋" w:cs="仿宋"/>
                <w:b w:val="0"/>
                <w:bCs w:val="0"/>
                <w:color w:val="2A2A2A"/>
                <w:sz w:val="24"/>
                <w:szCs w:val="24"/>
                <w:lang w:val="en-US" w:eastAsia="zh-CN"/>
              </w:rPr>
              <w:t>其他行业</w:t>
            </w:r>
            <w:r>
              <w:rPr>
                <w:rFonts w:hint="default" w:ascii="仿宋" w:hAnsi="仿宋" w:eastAsia="仿宋" w:cs="仿宋"/>
                <w:b w:val="0"/>
                <w:bCs w:val="0"/>
                <w:color w:val="2A2A2A"/>
                <w:sz w:val="24"/>
                <w:szCs w:val="24"/>
                <w:lang w:val="en-US" w:eastAsia="zh-CN"/>
              </w:rPr>
              <w:t>非甲烷总烃</w:t>
            </w:r>
            <w:r>
              <w:rPr>
                <w:rFonts w:hint="eastAsia" w:ascii="仿宋" w:hAnsi="仿宋" w:eastAsia="仿宋" w:cs="仿宋"/>
                <w:b w:val="0"/>
                <w:bCs w:val="0"/>
                <w:color w:val="2A2A2A"/>
                <w:sz w:val="24"/>
                <w:szCs w:val="24"/>
                <w:lang w:val="en-US" w:eastAsia="zh-CN"/>
              </w:rPr>
              <w:t>8</w:t>
            </w:r>
            <w:r>
              <w:rPr>
                <w:rFonts w:hint="default" w:ascii="仿宋" w:hAnsi="仿宋" w:eastAsia="仿宋" w:cs="仿宋"/>
                <w:b w:val="0"/>
                <w:bCs w:val="0"/>
                <w:color w:val="2A2A2A"/>
                <w:sz w:val="24"/>
                <w:szCs w:val="24"/>
                <w:lang w:val="en-US" w:eastAsia="zh-CN"/>
              </w:rPr>
              <w:t>0mg/</w:t>
            </w:r>
            <w:r>
              <w:rPr>
                <w:rFonts w:hint="eastAsia" w:ascii="仿宋" w:hAnsi="仿宋" w:eastAsia="仿宋" w:cs="仿宋"/>
                <w:b w:val="0"/>
                <w:bCs w:val="0"/>
                <w:color w:val="2A2A2A"/>
                <w:sz w:val="24"/>
                <w:szCs w:val="24"/>
                <w:lang w:val="en-US" w:eastAsia="zh-CN"/>
              </w:rPr>
              <w:t>m³、厂界无组织2.0</w:t>
            </w:r>
            <w:r>
              <w:rPr>
                <w:rFonts w:hint="default" w:ascii="仿宋" w:hAnsi="仿宋" w:eastAsia="仿宋" w:cs="仿宋"/>
                <w:b w:val="0"/>
                <w:bCs w:val="0"/>
                <w:color w:val="2A2A2A"/>
                <w:sz w:val="24"/>
                <w:szCs w:val="24"/>
                <w:lang w:val="en-US" w:eastAsia="zh-CN"/>
              </w:rPr>
              <w:t>mg/</w:t>
            </w:r>
            <w:r>
              <w:rPr>
                <w:rFonts w:hint="eastAsia" w:ascii="仿宋" w:hAnsi="仿宋" w:eastAsia="仿宋" w:cs="仿宋"/>
                <w:b w:val="0"/>
                <w:bCs w:val="0"/>
                <w:color w:val="2A2A2A"/>
                <w:sz w:val="24"/>
                <w:szCs w:val="24"/>
                <w:lang w:val="en-US" w:eastAsia="zh-CN"/>
              </w:rPr>
              <w:t>m³</w:t>
            </w:r>
            <w:r>
              <w:rPr>
                <w:rFonts w:hint="default" w:ascii="仿宋" w:hAnsi="仿宋" w:eastAsia="仿宋" w:cs="仿宋"/>
                <w:b w:val="0"/>
                <w:bCs w:val="0"/>
                <w:color w:val="2A2A2A"/>
                <w:sz w:val="24"/>
                <w:szCs w:val="24"/>
                <w:lang w:val="en-US" w:eastAsia="zh-CN"/>
              </w:rPr>
              <w:t>的排放限值要求</w:t>
            </w:r>
            <w:r>
              <w:rPr>
                <w:rFonts w:hint="eastAsia" w:ascii="仿宋" w:hAnsi="仿宋" w:eastAsia="仿宋" w:cs="仿宋"/>
                <w:b w:val="0"/>
                <w:bCs w:val="0"/>
                <w:color w:val="2A2A2A"/>
                <w:sz w:val="24"/>
                <w:szCs w:val="24"/>
                <w:lang w:val="en-US" w:eastAsia="zh-CN"/>
              </w:rPr>
              <w:t>；苯乙烯满足《恶臭污染物排放标准》（GB 14554—93）“15m排气筒6.5kg/h、无组织5.0</w:t>
            </w:r>
            <w:r>
              <w:rPr>
                <w:rFonts w:hint="default" w:ascii="仿宋" w:hAnsi="仿宋" w:eastAsia="仿宋" w:cs="仿宋"/>
                <w:b w:val="0"/>
                <w:bCs w:val="0"/>
                <w:color w:val="2A2A2A"/>
                <w:sz w:val="24"/>
                <w:szCs w:val="24"/>
                <w:lang w:val="en-US" w:eastAsia="zh-CN"/>
              </w:rPr>
              <w:t>mg/</w:t>
            </w:r>
            <w:r>
              <w:rPr>
                <w:rFonts w:hint="eastAsia" w:ascii="仿宋" w:hAnsi="仿宋" w:eastAsia="仿宋" w:cs="仿宋"/>
                <w:b w:val="0"/>
                <w:bCs w:val="0"/>
                <w:color w:val="2A2A2A"/>
                <w:sz w:val="24"/>
                <w:szCs w:val="24"/>
                <w:lang w:val="en-US" w:eastAsia="zh-CN"/>
              </w:rPr>
              <w:t>m³”、《合成树脂工业污染物排放标准》（GB 31572-2015）“车间或生产设施排气筒</w:t>
            </w:r>
            <w:r>
              <w:rPr>
                <w:rFonts w:hint="default" w:ascii="仿宋" w:hAnsi="仿宋" w:eastAsia="仿宋" w:cs="仿宋"/>
                <w:b w:val="0"/>
                <w:bCs w:val="0"/>
                <w:color w:val="2A2A2A"/>
                <w:sz w:val="24"/>
                <w:szCs w:val="24"/>
                <w:lang w:val="en-US" w:eastAsia="zh-CN"/>
              </w:rPr>
              <w:t>50mg/</w:t>
            </w:r>
            <w:r>
              <w:rPr>
                <w:rFonts w:hint="eastAsia" w:ascii="仿宋" w:hAnsi="仿宋" w:eastAsia="仿宋" w:cs="仿宋"/>
                <w:b w:val="0"/>
                <w:bCs w:val="0"/>
                <w:color w:val="2A2A2A"/>
                <w:sz w:val="24"/>
                <w:szCs w:val="24"/>
                <w:lang w:val="en-US" w:eastAsia="zh-CN"/>
              </w:rPr>
              <w:t>m³”</w:t>
            </w:r>
            <w:r>
              <w:rPr>
                <w:rFonts w:hint="default" w:ascii="仿宋" w:hAnsi="仿宋" w:eastAsia="仿宋" w:cs="仿宋"/>
                <w:b w:val="0"/>
                <w:bCs w:val="0"/>
                <w:color w:val="2A2A2A"/>
                <w:sz w:val="24"/>
                <w:szCs w:val="24"/>
                <w:lang w:val="en-US" w:eastAsia="zh-CN"/>
              </w:rPr>
              <w:t>的要求。</w:t>
            </w:r>
          </w:p>
          <w:p>
            <w:pPr>
              <w:widowControl/>
              <w:spacing w:line="330" w:lineRule="atLeast"/>
              <w:jc w:val="left"/>
              <w:rPr>
                <w:rFonts w:hint="default" w:ascii="仿宋" w:hAnsi="仿宋" w:eastAsia="仿宋" w:cs="仿宋"/>
                <w:b w:val="0"/>
                <w:bCs w:val="0"/>
                <w:color w:val="2A2A2A"/>
                <w:sz w:val="24"/>
                <w:szCs w:val="24"/>
                <w:lang w:val="en-US" w:eastAsia="zh-CN"/>
              </w:rPr>
            </w:pPr>
            <w:r>
              <w:rPr>
                <w:rFonts w:hint="eastAsia" w:ascii="仿宋" w:hAnsi="仿宋" w:eastAsia="仿宋" w:cs="仿宋"/>
                <w:b w:val="0"/>
                <w:bCs w:val="0"/>
                <w:color w:val="2A2A2A"/>
                <w:sz w:val="24"/>
                <w:szCs w:val="24"/>
                <w:lang w:val="en-US" w:eastAsia="zh-CN"/>
              </w:rPr>
              <w:t>3、固废：</w:t>
            </w:r>
            <w:r>
              <w:rPr>
                <w:rFonts w:hint="default" w:ascii="仿宋" w:hAnsi="仿宋" w:eastAsia="仿宋" w:cs="仿宋"/>
                <w:b w:val="0"/>
                <w:bCs w:val="0"/>
                <w:color w:val="2A2A2A"/>
                <w:sz w:val="24"/>
                <w:szCs w:val="24"/>
                <w:lang w:val="en-US" w:eastAsia="zh-CN"/>
              </w:rPr>
              <w:t>生活垃圾利用垃圾桶收集后，由环卫部门定期清运处理。边角废料</w:t>
            </w:r>
            <w:r>
              <w:rPr>
                <w:rFonts w:hint="eastAsia" w:ascii="仿宋" w:hAnsi="仿宋" w:eastAsia="仿宋" w:cs="仿宋"/>
                <w:b w:val="0"/>
                <w:bCs w:val="0"/>
                <w:color w:val="2A2A2A"/>
                <w:sz w:val="24"/>
                <w:szCs w:val="24"/>
                <w:lang w:val="en-US" w:eastAsia="zh-CN"/>
              </w:rPr>
              <w:t>、</w:t>
            </w:r>
            <w:r>
              <w:rPr>
                <w:rFonts w:hint="default" w:ascii="仿宋" w:hAnsi="仿宋" w:eastAsia="仿宋" w:cs="仿宋"/>
                <w:b w:val="0"/>
                <w:bCs w:val="0"/>
                <w:color w:val="2A2A2A"/>
                <w:sz w:val="24"/>
                <w:szCs w:val="24"/>
                <w:lang w:val="en-US" w:eastAsia="zh-CN"/>
              </w:rPr>
              <w:t>废气包装物</w:t>
            </w:r>
            <w:r>
              <w:rPr>
                <w:rFonts w:hint="eastAsia" w:ascii="仿宋" w:hAnsi="仿宋" w:eastAsia="仿宋" w:cs="仿宋"/>
                <w:b w:val="0"/>
                <w:bCs w:val="0"/>
                <w:color w:val="2A2A2A"/>
                <w:sz w:val="24"/>
                <w:szCs w:val="24"/>
                <w:lang w:val="en-US" w:eastAsia="zh-CN"/>
              </w:rPr>
              <w:t>、非木质板等</w:t>
            </w:r>
            <w:r>
              <w:rPr>
                <w:rFonts w:hint="default" w:ascii="仿宋" w:hAnsi="仿宋" w:eastAsia="仿宋" w:cs="仿宋"/>
                <w:b w:val="0"/>
                <w:bCs w:val="0"/>
                <w:color w:val="2A2A2A"/>
                <w:sz w:val="24"/>
                <w:szCs w:val="24"/>
                <w:lang w:val="en-US" w:eastAsia="zh-CN"/>
              </w:rPr>
              <w:t>一般固废，在厂区内收集设一般固废暂存间暂存，</w:t>
            </w:r>
            <w:r>
              <w:rPr>
                <w:rFonts w:hint="eastAsia" w:ascii="仿宋" w:hAnsi="仿宋" w:eastAsia="仿宋" w:cs="仿宋"/>
                <w:b w:val="0"/>
                <w:bCs w:val="0"/>
                <w:color w:val="2A2A2A"/>
                <w:sz w:val="24"/>
                <w:szCs w:val="24"/>
                <w:lang w:val="en-US" w:eastAsia="zh-CN"/>
              </w:rPr>
              <w:t>定期外售。</w:t>
            </w:r>
            <w:r>
              <w:rPr>
                <w:rFonts w:hint="default" w:ascii="仿宋" w:hAnsi="仿宋" w:eastAsia="仿宋" w:cs="仿宋"/>
                <w:b w:val="0"/>
                <w:bCs w:val="0"/>
                <w:color w:val="2A2A2A"/>
                <w:sz w:val="24"/>
                <w:szCs w:val="24"/>
                <w:lang w:val="en-US" w:eastAsia="zh-CN"/>
              </w:rPr>
              <w:t>一般工业固废暂存在一般工业固废仓库，</w:t>
            </w:r>
            <w:r>
              <w:rPr>
                <w:rFonts w:hint="eastAsia" w:ascii="仿宋" w:hAnsi="仿宋" w:eastAsia="仿宋" w:cs="仿宋"/>
                <w:b w:val="0"/>
                <w:bCs w:val="0"/>
                <w:color w:val="2A2A2A"/>
                <w:sz w:val="24"/>
                <w:szCs w:val="24"/>
                <w:lang w:val="en-US" w:eastAsia="zh-CN"/>
              </w:rPr>
              <w:t>仓储、</w:t>
            </w:r>
            <w:r>
              <w:rPr>
                <w:rFonts w:hint="default" w:ascii="仿宋" w:hAnsi="仿宋" w:eastAsia="仿宋" w:cs="仿宋"/>
                <w:b w:val="0"/>
                <w:bCs w:val="0"/>
                <w:color w:val="2A2A2A"/>
                <w:sz w:val="24"/>
                <w:szCs w:val="24"/>
                <w:lang w:val="en-US" w:eastAsia="zh-CN"/>
              </w:rPr>
              <w:t>处置执行《一般工业固体废物贮存和填埋污染控制标准》（GB18599-2020）的有关规定。</w:t>
            </w:r>
          </w:p>
          <w:p>
            <w:pPr>
              <w:widowControl/>
              <w:spacing w:line="330" w:lineRule="atLeast"/>
              <w:jc w:val="left"/>
              <w:rPr>
                <w:rFonts w:hint="default" w:ascii="仿宋" w:hAnsi="仿宋" w:eastAsia="仿宋" w:cs="仿宋"/>
                <w:b w:val="0"/>
                <w:bCs w:val="0"/>
                <w:color w:val="2A2A2A"/>
                <w:sz w:val="24"/>
                <w:szCs w:val="24"/>
                <w:lang w:val="en-US" w:eastAsia="zh-CN"/>
              </w:rPr>
            </w:pPr>
            <w:r>
              <w:rPr>
                <w:rFonts w:hint="default" w:ascii="仿宋" w:hAnsi="仿宋" w:eastAsia="仿宋" w:cs="仿宋"/>
                <w:b w:val="0"/>
                <w:bCs w:val="0"/>
                <w:color w:val="2A2A2A"/>
                <w:sz w:val="24"/>
                <w:szCs w:val="24"/>
                <w:lang w:val="en-US" w:eastAsia="zh-CN"/>
              </w:rPr>
              <w:t>废活性炭</w:t>
            </w:r>
            <w:r>
              <w:rPr>
                <w:rFonts w:hint="eastAsia" w:ascii="仿宋" w:hAnsi="仿宋" w:eastAsia="仿宋" w:cs="仿宋"/>
                <w:b w:val="0"/>
                <w:bCs w:val="0"/>
                <w:color w:val="2A2A2A"/>
                <w:sz w:val="24"/>
                <w:szCs w:val="24"/>
                <w:lang w:val="en-US" w:eastAsia="zh-CN"/>
              </w:rPr>
              <w:t>、</w:t>
            </w:r>
            <w:r>
              <w:rPr>
                <w:rFonts w:hint="default" w:ascii="仿宋" w:hAnsi="仿宋" w:eastAsia="仿宋" w:cs="仿宋"/>
                <w:b w:val="0"/>
                <w:bCs w:val="0"/>
                <w:color w:val="2A2A2A"/>
                <w:sz w:val="24"/>
                <w:szCs w:val="24"/>
                <w:lang w:val="en-US" w:eastAsia="zh-CN"/>
              </w:rPr>
              <w:t>废</w:t>
            </w:r>
            <w:r>
              <w:rPr>
                <w:rFonts w:hint="eastAsia" w:ascii="仿宋" w:hAnsi="仿宋" w:eastAsia="仿宋" w:cs="仿宋"/>
                <w:b w:val="0"/>
                <w:bCs w:val="0"/>
                <w:color w:val="2A2A2A"/>
                <w:sz w:val="24"/>
                <w:szCs w:val="24"/>
                <w:lang w:val="en-US" w:eastAsia="zh-CN"/>
              </w:rPr>
              <w:t>桶</w:t>
            </w:r>
            <w:r>
              <w:rPr>
                <w:rFonts w:hint="default" w:ascii="仿宋" w:hAnsi="仿宋" w:eastAsia="仿宋" w:cs="仿宋"/>
                <w:b w:val="0"/>
                <w:bCs w:val="0"/>
                <w:color w:val="2A2A2A"/>
                <w:sz w:val="24"/>
                <w:szCs w:val="24"/>
                <w:lang w:val="en-US" w:eastAsia="zh-CN"/>
              </w:rPr>
              <w:t>需暂存于危废暂存间，定期交由有资质单位处理。危险废物暂存间</w:t>
            </w:r>
            <w:r>
              <w:rPr>
                <w:rFonts w:hint="eastAsia" w:ascii="仿宋" w:hAnsi="仿宋" w:eastAsia="仿宋" w:cs="仿宋"/>
                <w:b w:val="0"/>
                <w:bCs w:val="0"/>
                <w:color w:val="2A2A2A"/>
                <w:sz w:val="24"/>
                <w:szCs w:val="24"/>
                <w:lang w:val="en-US" w:eastAsia="zh-CN"/>
              </w:rPr>
              <w:t>执行</w:t>
            </w:r>
            <w:r>
              <w:rPr>
                <w:rFonts w:hint="default" w:ascii="仿宋" w:hAnsi="仿宋" w:eastAsia="仿宋" w:cs="仿宋"/>
                <w:b w:val="0"/>
                <w:bCs w:val="0"/>
                <w:color w:val="2A2A2A"/>
                <w:sz w:val="24"/>
                <w:szCs w:val="24"/>
                <w:lang w:val="en-US" w:eastAsia="zh-CN"/>
              </w:rPr>
              <w:t>《危险废物贮存污染控制标准》（GB18597-2001）（2013修改）的</w:t>
            </w:r>
            <w:r>
              <w:rPr>
                <w:rFonts w:hint="eastAsia" w:ascii="仿宋" w:hAnsi="仿宋" w:eastAsia="仿宋" w:cs="仿宋"/>
                <w:b w:val="0"/>
                <w:bCs w:val="0"/>
                <w:color w:val="2A2A2A"/>
                <w:sz w:val="24"/>
                <w:szCs w:val="24"/>
                <w:lang w:val="en-US" w:eastAsia="zh-CN"/>
              </w:rPr>
              <w:t>有关规定。</w:t>
            </w:r>
          </w:p>
          <w:p>
            <w:pPr>
              <w:widowControl/>
              <w:spacing w:line="330" w:lineRule="atLeast"/>
              <w:jc w:val="left"/>
              <w:rPr>
                <w:rFonts w:hint="eastAsia" w:ascii="仿宋" w:hAnsi="仿宋" w:eastAsia="仿宋" w:cs="仿宋"/>
                <w:b w:val="0"/>
                <w:bCs w:val="0"/>
                <w:color w:val="2A2A2A"/>
                <w:sz w:val="24"/>
                <w:szCs w:val="24"/>
                <w:lang w:val="en-US" w:eastAsia="zh-CN"/>
              </w:rPr>
            </w:pPr>
          </w:p>
          <w:p>
            <w:pPr>
              <w:widowControl/>
              <w:spacing w:line="330" w:lineRule="atLeast"/>
              <w:jc w:val="left"/>
              <w:rPr>
                <w:rFonts w:hint="eastAsia" w:ascii="仿宋" w:hAnsi="仿宋" w:eastAsia="仿宋" w:cs="仿宋"/>
                <w:b w:val="0"/>
                <w:bCs w:val="0"/>
                <w:color w:val="2A2A2A"/>
                <w:sz w:val="24"/>
                <w:szCs w:val="24"/>
                <w:lang w:val="en-US" w:eastAsia="zh-CN"/>
              </w:rPr>
            </w:pPr>
            <w:r>
              <w:rPr>
                <w:rFonts w:hint="eastAsia" w:ascii="仿宋" w:hAnsi="仿宋" w:eastAsia="仿宋" w:cs="仿宋"/>
                <w:b w:val="0"/>
                <w:bCs w:val="0"/>
                <w:color w:val="2A2A2A"/>
                <w:sz w:val="24"/>
                <w:szCs w:val="24"/>
                <w:lang w:val="en-US" w:eastAsia="zh-CN"/>
              </w:rPr>
              <w:t>4、噪声：噪声采用</w:t>
            </w:r>
            <w:r>
              <w:rPr>
                <w:rFonts w:hint="default" w:ascii="仿宋" w:hAnsi="仿宋" w:eastAsia="仿宋" w:cs="仿宋"/>
                <w:b w:val="0"/>
                <w:bCs w:val="0"/>
                <w:color w:val="2A2A2A"/>
                <w:sz w:val="24"/>
                <w:szCs w:val="24"/>
                <w:lang w:val="en-US" w:eastAsia="zh-CN"/>
              </w:rPr>
              <w:t>高效低噪声设备、安装减振底座等</w:t>
            </w:r>
            <w:r>
              <w:rPr>
                <w:rFonts w:hint="eastAsia" w:ascii="仿宋" w:hAnsi="仿宋" w:eastAsia="仿宋" w:cs="仿宋"/>
                <w:b w:val="0"/>
                <w:bCs w:val="0"/>
                <w:color w:val="2A2A2A"/>
                <w:sz w:val="24"/>
                <w:szCs w:val="24"/>
                <w:lang w:val="en-US" w:eastAsia="zh-CN"/>
              </w:rPr>
              <w:t>措施，</w:t>
            </w:r>
            <w:r>
              <w:rPr>
                <w:rFonts w:hint="eastAsia" w:ascii="仿宋" w:hAnsi="仿宋" w:eastAsia="仿宋" w:cs="仿宋"/>
                <w:b w:val="0"/>
                <w:bCs w:val="0"/>
                <w:color w:val="2A2A2A"/>
                <w:sz w:val="24"/>
                <w:szCs w:val="24"/>
                <w:lang w:val="en-US" w:eastAsia="zh-CN"/>
              </w:rPr>
              <w:t>排放执行</w:t>
            </w:r>
            <w:r>
              <w:rPr>
                <w:rFonts w:hint="default" w:ascii="仿宋" w:hAnsi="仿宋" w:eastAsia="仿宋" w:cs="仿宋"/>
                <w:b w:val="0"/>
                <w:bCs w:val="0"/>
                <w:color w:val="2A2A2A"/>
                <w:sz w:val="24"/>
                <w:szCs w:val="24"/>
                <w:lang w:val="en-US" w:eastAsia="zh-CN"/>
              </w:rPr>
              <w:t>《工业企业厂界环境噪声排放标准》（GB12348-2008）中的</w:t>
            </w:r>
            <w:r>
              <w:rPr>
                <w:rFonts w:hint="eastAsia" w:ascii="仿宋" w:hAnsi="仿宋" w:eastAsia="仿宋" w:cs="仿宋"/>
                <w:b w:val="0"/>
                <w:bCs w:val="0"/>
                <w:color w:val="2A2A2A"/>
                <w:sz w:val="24"/>
                <w:szCs w:val="24"/>
                <w:lang w:val="en-US" w:eastAsia="zh-CN"/>
              </w:rPr>
              <w:t>2</w:t>
            </w:r>
            <w:r>
              <w:rPr>
                <w:rFonts w:hint="default" w:ascii="仿宋" w:hAnsi="仿宋" w:eastAsia="仿宋" w:cs="仿宋"/>
                <w:b w:val="0"/>
                <w:bCs w:val="0"/>
                <w:color w:val="2A2A2A"/>
                <w:sz w:val="24"/>
                <w:szCs w:val="24"/>
                <w:lang w:val="en-US" w:eastAsia="zh-CN"/>
              </w:rPr>
              <w:t>类标准</w:t>
            </w:r>
            <w:r>
              <w:rPr>
                <w:rFonts w:hint="eastAsia" w:ascii="仿宋" w:hAnsi="仿宋" w:eastAsia="仿宋" w:cs="仿宋"/>
                <w:b w:val="0"/>
                <w:bCs w:val="0"/>
                <w:color w:val="2A2A2A"/>
                <w:sz w:val="24"/>
                <w:szCs w:val="24"/>
                <w:lang w:val="en-US" w:eastAsia="zh-CN"/>
              </w:rPr>
              <w:t>。</w:t>
            </w:r>
            <w:bookmarkStart w:id="0" w:name="_GoBack"/>
            <w:bookmarkEnd w:id="0"/>
          </w:p>
          <w:p>
            <w:pPr>
              <w:widowControl/>
              <w:spacing w:line="330" w:lineRule="atLeast"/>
              <w:jc w:val="left"/>
              <w:rPr>
                <w:rFonts w:hint="default" w:ascii="仿宋" w:hAnsi="仿宋" w:eastAsia="仿宋" w:cs="仿宋"/>
                <w:b w:val="0"/>
                <w:bCs w:val="0"/>
                <w:color w:val="2A2A2A"/>
                <w:sz w:val="24"/>
                <w:szCs w:val="24"/>
                <w:lang w:val="en-US" w:eastAsia="zh-CN"/>
              </w:rPr>
            </w:pPr>
          </w:p>
          <w:p>
            <w:pPr>
              <w:widowControl/>
              <w:spacing w:line="330" w:lineRule="atLeast"/>
              <w:jc w:val="left"/>
              <w:rPr>
                <w:rFonts w:hint="eastAsia" w:ascii="仿宋" w:hAnsi="仿宋" w:eastAsia="仿宋" w:cs="仿宋"/>
                <w:b w:val="0"/>
                <w:bCs w:val="0"/>
                <w:color w:val="2A2A2A"/>
                <w:sz w:val="24"/>
                <w:szCs w:val="24"/>
                <w:lang w:eastAsia="zh-CN"/>
              </w:rPr>
            </w:pPr>
          </w:p>
        </w:tc>
        <w:tc>
          <w:tcPr>
            <w:tcW w:w="983" w:type="dxa"/>
            <w:tcBorders>
              <w:top w:val="single" w:color="auto" w:sz="4" w:space="0"/>
              <w:bottom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r>
    </w:tbl>
    <w:p>
      <w:pPr>
        <w:adjustRightInd w:val="0"/>
        <w:snapToGrid w:val="0"/>
        <w:jc w:val="both"/>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C59C5"/>
    <w:rsid w:val="0F637FEE"/>
    <w:rsid w:val="112573BD"/>
    <w:rsid w:val="14FB60A9"/>
    <w:rsid w:val="1EBC59C5"/>
    <w:rsid w:val="1F8B4890"/>
    <w:rsid w:val="2406774D"/>
    <w:rsid w:val="25DB25D7"/>
    <w:rsid w:val="32D00F8B"/>
    <w:rsid w:val="49D81442"/>
    <w:rsid w:val="4D3B0DF4"/>
    <w:rsid w:val="6F350693"/>
    <w:rsid w:val="7E824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9"/>
    <w:pPr>
      <w:keepNext/>
      <w:overflowPunct w:val="0"/>
      <w:snapToGrid w:val="0"/>
      <w:spacing w:line="360" w:lineRule="auto"/>
      <w:ind w:left="0" w:hanging="432"/>
      <w:outlineLvl w:val="0"/>
    </w:pPr>
    <w:rPr>
      <w:rFonts w:eastAsia="黑体"/>
      <w:b/>
      <w:bCs/>
      <w:color w:val="000000"/>
      <w:kern w:val="44"/>
      <w:sz w:val="28"/>
      <w:szCs w:val="30"/>
    </w:rPr>
  </w:style>
  <w:style w:type="paragraph" w:styleId="2">
    <w:name w:val="heading 4"/>
    <w:basedOn w:val="1"/>
    <w:next w:val="1"/>
    <w:qFormat/>
    <w:uiPriority w:val="0"/>
    <w:pPr>
      <w:keepNext/>
      <w:keepLines/>
      <w:spacing w:line="520" w:lineRule="exact"/>
      <w:outlineLvl w:val="3"/>
    </w:pPr>
    <w:rPr>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widowControl/>
      <w:ind w:firstLine="420"/>
      <w:jc w:val="left"/>
    </w:pPr>
    <w:rPr>
      <w:kern w:val="0"/>
      <w:sz w:val="20"/>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paragraph" w:customStyle="1" w:styleId="10">
    <w:name w:val="Default"/>
    <w:qFormat/>
    <w:uiPriority w:val="0"/>
    <w:pPr>
      <w:widowControl w:val="0"/>
      <w:autoSpaceDE w:val="0"/>
      <w:autoSpaceDN w:val="0"/>
      <w:adjustRightInd w:val="0"/>
      <w:spacing w:line="460" w:lineRule="exact"/>
      <w:jc w:val="center"/>
    </w:pPr>
    <w:rPr>
      <w:rFonts w:ascii="黑体" w:hAnsi="Times New Roman" w:eastAsia="黑体" w:cs="黑体"/>
      <w:color w:val="000000"/>
      <w:sz w:val="24"/>
      <w:szCs w:val="24"/>
      <w:lang w:val="en-US" w:eastAsia="zh-CN" w:bidi="ar-SA"/>
    </w:rPr>
  </w:style>
  <w:style w:type="paragraph" w:customStyle="1" w:styleId="11">
    <w:name w:val="正文 首行缩进:  2 字符"/>
    <w:basedOn w:val="1"/>
    <w:semiHidden/>
    <w:qFormat/>
    <w:uiPriority w:val="0"/>
    <w:pPr>
      <w:spacing w:line="520" w:lineRule="exact"/>
      <w:ind w:firstLine="480" w:firstLineChars="200"/>
    </w:pPr>
    <w:rPr>
      <w:rFonts w:ascii="Times New Roman" w:hAnsi="Times New Roman"/>
      <w:kern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2021-06-30T02:30:00Z</dcterms:created>
  <dc:creator>橙子</dc:creator>
  <cp:lastModifiedBy>=。=</cp:lastModifiedBy>
  <dcterms:modified xsi:type="dcterms:W3CDTF">2022-02-17T07:06:00Z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1DAAE6BCBBEA4385BB8830CC5B1211BF</vt:lpwstr>
  </property>
</Properties>
</file>