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325" w:line="219" w:lineRule="auto"/>
        <w:ind w:firstLine="594"/>
        <w:rPr>
          <w:rFonts w:ascii="宋体" w:hAnsi="宋体" w:eastAsia="宋体" w:cs="宋体"/>
          <w:sz w:val="100"/>
          <w:szCs w:val="100"/>
        </w:rPr>
      </w:pPr>
      <w:r>
        <w:rPr>
          <w:rFonts w:ascii="宋体" w:hAnsi="宋体" w:eastAsia="宋体" w:cs="宋体"/>
          <w:color w:val="E52F2D"/>
          <w:spacing w:val="-39"/>
          <w:w w:val="39"/>
          <w:sz w:val="100"/>
          <w:szCs w:val="100"/>
          <w14:textOutline w14:w="18160" w14:cap="flat" w14:cmpd="sng">
            <w14:solidFill>
              <w14:srgbClr w14:val="E52F2D"/>
            </w14:solidFill>
            <w14:prstDash w14:val="solid"/>
            <w14:miter w14:val="10"/>
          </w14:textOutline>
        </w:rPr>
        <w:t>卫</w:t>
      </w:r>
      <w:r>
        <w:rPr>
          <w:rFonts w:hint="eastAsia" w:ascii="宋体" w:hAnsi="宋体" w:eastAsia="宋体" w:cs="宋体"/>
          <w:color w:val="E52F2D"/>
          <w:spacing w:val="-39"/>
          <w:w w:val="39"/>
          <w:sz w:val="100"/>
          <w:szCs w:val="100"/>
          <w14:textOutline w14:w="18160" w14:cap="flat" w14:cmpd="sng">
            <w14:solidFill>
              <w14:srgbClr w14:val="E52F2D"/>
            </w14:solidFill>
            <w14:prstDash w14:val="solid"/>
            <w14:miter w14:val="10"/>
          </w14:textOutline>
        </w:rPr>
        <w:t>滨</w:t>
      </w:r>
      <w:r>
        <w:rPr>
          <w:rFonts w:ascii="宋体" w:hAnsi="宋体" w:eastAsia="宋体" w:cs="宋体"/>
          <w:color w:val="E52F2D"/>
          <w:spacing w:val="-39"/>
          <w:w w:val="39"/>
          <w:sz w:val="100"/>
          <w:szCs w:val="100"/>
          <w14:textOutline w14:w="18160" w14:cap="flat" w14:cmpd="sng">
            <w14:solidFill>
              <w14:srgbClr w14:val="E52F2D"/>
            </w14:solidFill>
            <w14:prstDash w14:val="solid"/>
            <w14:miter w14:val="10"/>
          </w14:textOutline>
        </w:rPr>
        <w:t>区知识产权战略实施工作联席会议办公室文件</w:t>
      </w:r>
    </w:p>
    <w:p>
      <w:pPr>
        <w:spacing w:before="267" w:line="224" w:lineRule="auto"/>
        <w:ind w:firstLine="30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卫知战联办〔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sz w:val="28"/>
          <w:szCs w:val="28"/>
        </w:rPr>
        <w:t>2021）1号</w:t>
      </w:r>
    </w:p>
    <w:p>
      <w:pPr>
        <w:spacing w:before="231" w:line="60" w:lineRule="exact"/>
        <w:textAlignment w:val="center"/>
      </w:pPr>
      <w:r>
        <w:drawing>
          <wp:inline distT="0" distB="0" distL="0" distR="0">
            <wp:extent cx="5568950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8985" cy="3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8" w:lineRule="auto"/>
        <w:rPr>
          <w:rFonts w:ascii="Arial"/>
          <w:sz w:val="21"/>
        </w:rPr>
      </w:pPr>
    </w:p>
    <w:p>
      <w:pPr>
        <w:spacing w:before="135" w:line="573" w:lineRule="exact"/>
        <w:ind w:firstLine="854"/>
        <w:rPr>
          <w:rFonts w:ascii="等线" w:hAnsi="等线" w:eastAsia="等线" w:cs="等线"/>
          <w:sz w:val="40"/>
          <w:szCs w:val="40"/>
        </w:rPr>
      </w:pPr>
      <w:r>
        <w:rPr>
          <w:rFonts w:hint="eastAsia" w:ascii="宋体" w:hAnsi="宋体" w:eastAsia="宋体" w:cs="宋体"/>
          <w:spacing w:val="-22"/>
          <w:position w:val="4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卫滨</w:t>
      </w:r>
      <w:bookmarkStart w:id="0" w:name="_GoBack"/>
      <w:bookmarkEnd w:id="0"/>
      <w:r>
        <w:rPr>
          <w:rFonts w:hint="eastAsia" w:ascii="宋体" w:hAnsi="宋体" w:eastAsia="宋体" w:cs="宋体"/>
          <w:spacing w:val="-22"/>
          <w:position w:val="4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区知识产权战略实施工作联席会议制度</w:t>
      </w:r>
    </w:p>
    <w:p>
      <w:pPr>
        <w:spacing w:before="188" w:line="369" w:lineRule="auto"/>
        <w:ind w:left="330" w:right="284" w:firstLine="80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4"/>
          <w:sz w:val="28"/>
          <w:szCs w:val="28"/>
        </w:rPr>
        <w:t>为深入实施知识产权战略，优化知识产权保护机制，营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w w:val="102"/>
          <w:sz w:val="28"/>
          <w:szCs w:val="28"/>
        </w:rPr>
        <w:t>造我区良好营商环境和创新环境，特建立卫滨区知识产权战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sz w:val="28"/>
          <w:szCs w:val="28"/>
        </w:rPr>
        <w:t>略实施工作联席会议（以下简称联席会议）制度。</w:t>
      </w:r>
    </w:p>
    <w:p>
      <w:pPr>
        <w:spacing w:before="2" w:line="220" w:lineRule="auto"/>
        <w:ind w:firstLine="1089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pacing w:val="7"/>
          <w:sz w:val="28"/>
          <w:szCs w:val="28"/>
        </w:rPr>
        <w:t>一、主要职责</w:t>
      </w:r>
    </w:p>
    <w:p>
      <w:pPr>
        <w:spacing w:before="208" w:line="369" w:lineRule="auto"/>
        <w:ind w:left="309" w:right="299" w:firstLine="7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7"/>
          <w:sz w:val="28"/>
          <w:szCs w:val="28"/>
        </w:rPr>
        <w:t>在区政府领导下，统筹协调卫滨区知识产权战略实施和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w w:val="101"/>
          <w:sz w:val="28"/>
          <w:szCs w:val="28"/>
        </w:rPr>
        <w:t>知识产权示范城市建设工作。研究提出深入实施卫滨区知识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w w:val="101"/>
          <w:sz w:val="28"/>
          <w:szCs w:val="28"/>
        </w:rPr>
        <w:t>产权战略和加强知识产权示范城市建设的重大方针政策，研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w w:val="106"/>
          <w:sz w:val="28"/>
          <w:szCs w:val="28"/>
        </w:rPr>
        <w:t>究制订卫滨区知识产权战略实施计划和示范城市建设实施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10"/>
          <w:sz w:val="28"/>
          <w:szCs w:val="28"/>
        </w:rPr>
        <w:t>方案;指导、督促、检查知识产权有关政策的落实;协调解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w w:val="106"/>
          <w:sz w:val="28"/>
          <w:szCs w:val="28"/>
        </w:rPr>
        <w:t>决卫滨区知识产权战略实施和知识产权示范城市建设过程</w:t>
      </w:r>
    </w:p>
    <w:p>
      <w:pPr>
        <w:spacing w:before="1" w:line="221" w:lineRule="auto"/>
        <w:ind w:firstLine="30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w w:val="108"/>
          <w:sz w:val="28"/>
          <w:szCs w:val="28"/>
        </w:rPr>
        <w:t>中的重大问题;完成区政府交办的其他事项。</w:t>
      </w:r>
    </w:p>
    <w:p>
      <w:pPr>
        <w:spacing w:before="191" w:line="221" w:lineRule="auto"/>
        <w:ind w:firstLine="1093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5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二、成员单位</w:t>
      </w:r>
    </w:p>
    <w:p>
      <w:pPr>
        <w:spacing w:before="206" w:line="373" w:lineRule="auto"/>
        <w:ind w:left="389" w:right="220" w:firstLine="7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0"/>
          <w:w w:val="99"/>
          <w:sz w:val="28"/>
          <w:szCs w:val="28"/>
        </w:rPr>
        <w:t>联席会议由区市场监管局、区委组织部、区委宣传部、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sz w:val="28"/>
          <w:szCs w:val="28"/>
        </w:rPr>
        <w:t>区委网信办、区法院、区检察院、区发改委、区教体局、区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sz w:val="28"/>
          <w:szCs w:val="28"/>
        </w:rPr>
        <w:t>科工信局、公安分局、区司法局、区财政局、区人社局、区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6"/>
          <w:sz w:val="28"/>
          <w:szCs w:val="28"/>
        </w:rPr>
        <w:t>农业农村局、区商务局、区文旅局等18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6"/>
          <w:sz w:val="28"/>
          <w:szCs w:val="28"/>
        </w:rPr>
        <w:t>个部门和单位组成，</w:t>
      </w:r>
    </w:p>
    <w:p>
      <w:pPr>
        <w:sectPr>
          <w:pgSz w:w="11960" w:h="16870"/>
          <w:pgMar w:top="1433" w:right="1629" w:bottom="0" w:left="1559" w:header="0" w:footer="0" w:gutter="0"/>
          <w:cols w:space="720" w:num="1"/>
        </w:sectPr>
      </w:pPr>
    </w:p>
    <w:p>
      <w:pPr>
        <w:spacing w:before="210" w:line="221" w:lineRule="auto"/>
        <w:ind w:firstLine="14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区市场监管局为牵头单位。</w:t>
      </w:r>
    </w:p>
    <w:p>
      <w:pPr>
        <w:spacing w:before="181" w:line="344" w:lineRule="auto"/>
        <w:ind w:left="108" w:right="155" w:firstLine="6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联席会议由区政府分管知识产权工作的领导同志担任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召集人，协助分管知识产权工作的区政府办公室主任、区市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场监管局主要负责同志担任副召集人，各成员单位有关负责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同志为联席会议成员。联席会议可根据工作需要，邀请其他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相关部门参加。联席会议成员因工作变动需要调整的，由所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在单位提出，联席会议确定。联席会议办公室设在区市场监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管局，具体承担联席会议日常工作。区市场监管局分管负责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同志兼任办公室主任。联席会议设联络员，由各成员单位有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关科室负责同志担任，联络员同时作为办公室成员参与具体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工作。联络员需要调整的，由所在部门提出，报区市场监管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2"/>
          <w:sz w:val="30"/>
          <w:szCs w:val="30"/>
        </w:rPr>
        <w:t>局备案。</w:t>
      </w:r>
    </w:p>
    <w:p>
      <w:pPr>
        <w:spacing w:line="210" w:lineRule="auto"/>
        <w:ind w:firstLine="807"/>
        <w:rPr>
          <w:rFonts w:ascii="等线" w:hAnsi="等线" w:eastAsia="等线" w:cs="等线"/>
          <w:b/>
          <w:bCs/>
          <w:sz w:val="30"/>
          <w:szCs w:val="30"/>
        </w:rPr>
      </w:pPr>
      <w:r>
        <w:rPr>
          <w:rFonts w:ascii="等线" w:hAnsi="等线" w:eastAsia="等线" w:cs="等线"/>
          <w:b/>
          <w:bCs/>
          <w:spacing w:val="-12"/>
          <w:sz w:val="30"/>
          <w:szCs w:val="30"/>
        </w:rPr>
        <w:t>三、工作规则</w:t>
      </w:r>
    </w:p>
    <w:p>
      <w:pPr>
        <w:spacing w:before="212" w:line="344" w:lineRule="auto"/>
        <w:ind w:left="108" w:right="163" w:firstLine="7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联席会议根据工作需要定期或不定期召开全体会议或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由相关成员单位参加的专题会议，由召集人或召集人委托的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副召集人主持，成员单位根据工作需要可以提出召开会议的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建议。在全体会议和专题会议之前，由联席会议办公室主任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主持召开联络员会议，研究讨论联席会议议题和需提交联席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会议议定的事项及其他有关事项。联席会议以会议纪要形式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明确会议议定事项，印发有关方面并抄报区政府，重大事项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1"/>
          <w:w w:val="104"/>
          <w:sz w:val="30"/>
          <w:szCs w:val="30"/>
        </w:rPr>
        <w:t>按程序报批。</w:t>
      </w:r>
    </w:p>
    <w:p>
      <w:pPr>
        <w:spacing w:line="220" w:lineRule="auto"/>
        <w:ind w:firstLine="811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四、工作要求</w:t>
      </w:r>
    </w:p>
    <w:p>
      <w:pPr>
        <w:spacing w:before="201" w:line="353" w:lineRule="auto"/>
        <w:ind w:left="88" w:right="178" w:firstLine="7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各成员单位要按照职责分工，深入研究卫滨区知识产权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战略实施和知识产权示范城市建设工作中的有关问题，制订</w:t>
      </w:r>
    </w:p>
    <w:p>
      <w:pPr>
        <w:sectPr>
          <w:pgSz w:w="12010" w:h="16900"/>
          <w:pgMar w:top="1436" w:right="1801" w:bottom="0" w:left="1801" w:header="0" w:footer="0" w:gutter="0"/>
          <w:cols w:space="720" w:num="1"/>
        </w:sectPr>
      </w:pPr>
    </w:p>
    <w:p>
      <w:pPr>
        <w:spacing w:before="201" w:line="373" w:lineRule="auto"/>
        <w:ind w:left="143" w:right="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sz w:val="28"/>
          <w:szCs w:val="28"/>
        </w:rPr>
        <w:t>配套政策措施和提出建议，认真落实联席会议确定的工作任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30"/>
          <w:sz w:val="28"/>
          <w:szCs w:val="28"/>
        </w:rPr>
        <w:t>务和议定事项。要互通信息、密切配合、相互支持、形成合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3"/>
          <w:sz w:val="28"/>
          <w:szCs w:val="28"/>
        </w:rPr>
        <w:t>力，充分发挥联席会议作用，形成高效运行的长效工作机制。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7"/>
          <w:sz w:val="28"/>
          <w:szCs w:val="28"/>
        </w:rPr>
        <w:t>联席会议办公室要及时向各成员单位通报有关情况。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1" w:line="220" w:lineRule="auto"/>
        <w:ind w:firstLine="17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卫滨区知识产权战略实施工作联席会议办公室（代章）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92" w:line="222" w:lineRule="auto"/>
        <w:ind w:firstLine="37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2021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年10月18日</w:t>
      </w:r>
    </w:p>
    <w:sectPr>
      <w:pgSz w:w="11980" w:h="16880"/>
      <w:pgMar w:top="1434" w:right="1797" w:bottom="0" w:left="179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750201"/>
    <w:rsid w:val="4EC3165E"/>
    <w:rsid w:val="535D7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2021-12-28T00:55:42Z</dcterms:created>
  <dc:creator>JGG</dc:creator>
  <cp:lastModifiedBy>凉白开1423315066</cp:lastModifiedBy>
  <dcterms:modified xsi:type="dcterms:W3CDTF">2021-12-28T00:59:40Z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2021-12-28T08:25:02Z</vt:filetime>
  </property>
  <property fmtid="{D5CDD505-2E9C-101B-9397-08002B2CF9AE}" pid="4" name="KSOProductBuildVer">
    <vt:lpwstr>2052-11.1.0.11194</vt:lpwstr>
  </property>
  <property fmtid="{D5CDD505-2E9C-101B-9397-08002B2CF9AE}" pid="5" name="ICV">
    <vt:lpwstr>FFA77FF7548D4FCAA602AAC8F89FD080</vt:lpwstr>
  </property>
</Properties>
</file>