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556" w:lineRule="atLeast"/>
        <w:jc w:val="center"/>
        <w:rPr>
          <w:rFonts w:hint="eastAsia" w:ascii="方正小标宋简体" w:hAnsi="方正小标宋简体" w:eastAsia="方正小标宋简体" w:cs="方正小标宋简体"/>
          <w:b w:val="0"/>
          <w:bCs w:val="0"/>
          <w:kern w:val="0"/>
          <w:sz w:val="24"/>
          <w:szCs w:val="24"/>
        </w:rPr>
      </w:pPr>
      <w:r>
        <w:rPr>
          <w:rFonts w:hint="eastAsia" w:ascii="方正小标宋简体" w:hAnsi="方正小标宋简体" w:eastAsia="方正小标宋简体" w:cs="方正小标宋简体"/>
          <w:b w:val="0"/>
          <w:bCs w:val="0"/>
          <w:color w:val="000000"/>
          <w:kern w:val="0"/>
          <w:sz w:val="44"/>
          <w:szCs w:val="44"/>
        </w:rPr>
        <w:t>卫滨区市场监督管理局</w:t>
      </w:r>
      <w:r>
        <w:rPr>
          <w:rFonts w:hint="eastAsia" w:ascii="方正小标宋简体" w:hAnsi="方正小标宋简体" w:eastAsia="方正小标宋简体" w:cs="方正小标宋简体"/>
          <w:b w:val="0"/>
          <w:bCs w:val="0"/>
          <w:color w:val="000000"/>
          <w:kern w:val="0"/>
          <w:sz w:val="44"/>
          <w:szCs w:val="44"/>
          <w:lang w:eastAsia="zh-CN"/>
        </w:rPr>
        <w:t>“谁执法谁普法”责任清单</w:t>
      </w:r>
      <w:r>
        <w:rPr>
          <w:rFonts w:hint="eastAsia" w:ascii="方正小标宋简体" w:hAnsi="方正小标宋简体" w:eastAsia="方正小标宋简体" w:cs="方正小标宋简体"/>
          <w:b w:val="0"/>
          <w:bCs w:val="0"/>
          <w:color w:val="000000"/>
          <w:kern w:val="0"/>
          <w:sz w:val="44"/>
          <w:szCs w:val="44"/>
        </w:rPr>
        <w:t>（202</w:t>
      </w:r>
      <w:r>
        <w:rPr>
          <w:rFonts w:hint="eastAsia" w:ascii="方正小标宋简体" w:hAnsi="方正小标宋简体" w:eastAsia="方正小标宋简体" w:cs="方正小标宋简体"/>
          <w:b w:val="0"/>
          <w:bCs w:val="0"/>
          <w:color w:val="000000"/>
          <w:kern w:val="0"/>
          <w:sz w:val="44"/>
          <w:szCs w:val="44"/>
          <w:lang w:val="en-US" w:eastAsia="zh-CN"/>
        </w:rPr>
        <w:t>1</w:t>
      </w:r>
      <w:r>
        <w:rPr>
          <w:rFonts w:hint="eastAsia" w:ascii="方正小标宋简体" w:hAnsi="方正小标宋简体" w:eastAsia="方正小标宋简体" w:cs="方正小标宋简体"/>
          <w:b w:val="0"/>
          <w:bCs w:val="0"/>
          <w:color w:val="000000"/>
          <w:kern w:val="0"/>
          <w:sz w:val="44"/>
          <w:szCs w:val="44"/>
        </w:rPr>
        <w:t>）</w:t>
      </w:r>
    </w:p>
    <w:tbl>
      <w:tblPr>
        <w:tblStyle w:val="2"/>
        <w:tblW w:w="14550" w:type="dxa"/>
        <w:tblInd w:w="-159" w:type="dxa"/>
        <w:tblLayout w:type="autofit"/>
        <w:tblCellMar>
          <w:top w:w="15" w:type="dxa"/>
          <w:left w:w="15" w:type="dxa"/>
          <w:bottom w:w="15" w:type="dxa"/>
          <w:right w:w="15" w:type="dxa"/>
        </w:tblCellMar>
      </w:tblPr>
      <w:tblGrid>
        <w:gridCol w:w="810"/>
        <w:gridCol w:w="2670"/>
        <w:gridCol w:w="8610"/>
        <w:gridCol w:w="2460"/>
      </w:tblGrid>
      <w:tr>
        <w:tblPrEx>
          <w:tblCellMar>
            <w:top w:w="15" w:type="dxa"/>
            <w:left w:w="15" w:type="dxa"/>
            <w:bottom w:w="15" w:type="dxa"/>
            <w:right w:w="15" w:type="dxa"/>
          </w:tblCellMar>
        </w:tblPrEx>
        <w:trPr>
          <w:trHeight w:val="585" w:hRule="atLeast"/>
        </w:trPr>
        <w:tc>
          <w:tcPr>
            <w:tcW w:w="81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spacing w:before="100" w:beforeAutospacing="1" w:after="100" w:afterAutospacing="1" w:line="320" w:lineRule="atLeast"/>
              <w:jc w:val="center"/>
              <w:rPr>
                <w:rFonts w:ascii="宋体" w:hAnsi="宋体" w:eastAsia="宋体" w:cs="宋体"/>
                <w:kern w:val="0"/>
                <w:sz w:val="24"/>
                <w:szCs w:val="24"/>
              </w:rPr>
            </w:pPr>
            <w:r>
              <w:rPr>
                <w:rFonts w:hint="eastAsia" w:ascii="宋体" w:hAnsi="宋体" w:eastAsia="宋体" w:cs="宋体"/>
                <w:color w:val="000000"/>
                <w:kern w:val="0"/>
                <w:sz w:val="22"/>
              </w:rPr>
              <w:t>序号</w:t>
            </w:r>
          </w:p>
        </w:tc>
        <w:tc>
          <w:tcPr>
            <w:tcW w:w="2670" w:type="dxa"/>
            <w:tcBorders>
              <w:top w:val="single" w:color="000000" w:sz="4" w:space="0"/>
              <w:left w:val="nil"/>
              <w:bottom w:val="single" w:color="000000" w:sz="4" w:space="0"/>
              <w:right w:val="single" w:color="000000" w:sz="4" w:space="0"/>
            </w:tcBorders>
            <w:tcMar>
              <w:top w:w="15" w:type="dxa"/>
              <w:left w:w="108" w:type="dxa"/>
              <w:bottom w:w="15" w:type="dxa"/>
              <w:right w:w="108" w:type="dxa"/>
            </w:tcMar>
            <w:vAlign w:val="center"/>
          </w:tcPr>
          <w:p>
            <w:pPr>
              <w:widowControl/>
              <w:spacing w:before="100" w:beforeAutospacing="1" w:after="100" w:afterAutospacing="1" w:line="320" w:lineRule="atLeast"/>
              <w:jc w:val="center"/>
              <w:rPr>
                <w:rFonts w:ascii="宋体" w:hAnsi="宋体" w:eastAsia="宋体" w:cs="宋体"/>
                <w:kern w:val="0"/>
                <w:sz w:val="24"/>
                <w:szCs w:val="24"/>
              </w:rPr>
            </w:pPr>
            <w:r>
              <w:rPr>
                <w:rFonts w:hint="eastAsia" w:ascii="宋体" w:hAnsi="宋体" w:eastAsia="宋体" w:cs="宋体"/>
                <w:color w:val="000000"/>
                <w:kern w:val="0"/>
                <w:sz w:val="22"/>
              </w:rPr>
              <w:t>工作内容</w:t>
            </w:r>
          </w:p>
        </w:tc>
        <w:tc>
          <w:tcPr>
            <w:tcW w:w="8610" w:type="dxa"/>
            <w:tcBorders>
              <w:top w:val="single" w:color="000000" w:sz="4" w:space="0"/>
              <w:left w:val="nil"/>
              <w:bottom w:val="single" w:color="000000" w:sz="4" w:space="0"/>
              <w:right w:val="single" w:color="000000" w:sz="4" w:space="0"/>
            </w:tcBorders>
            <w:tcMar>
              <w:top w:w="15" w:type="dxa"/>
              <w:left w:w="108" w:type="dxa"/>
              <w:bottom w:w="15" w:type="dxa"/>
              <w:right w:w="108" w:type="dxa"/>
            </w:tcMar>
            <w:vAlign w:val="center"/>
          </w:tcPr>
          <w:p>
            <w:pPr>
              <w:widowControl/>
              <w:spacing w:before="100" w:beforeAutospacing="1" w:after="100" w:afterAutospacing="1" w:line="320" w:lineRule="atLeast"/>
              <w:jc w:val="center"/>
              <w:rPr>
                <w:rFonts w:ascii="宋体" w:hAnsi="宋体" w:eastAsia="宋体" w:cs="宋体"/>
                <w:kern w:val="0"/>
                <w:sz w:val="24"/>
                <w:szCs w:val="24"/>
              </w:rPr>
            </w:pPr>
            <w:r>
              <w:rPr>
                <w:rFonts w:hint="eastAsia" w:ascii="宋体" w:hAnsi="宋体" w:eastAsia="宋体" w:cs="宋体"/>
                <w:color w:val="000000"/>
                <w:kern w:val="0"/>
                <w:sz w:val="22"/>
              </w:rPr>
              <w:t>宣传重点</w:t>
            </w:r>
          </w:p>
        </w:tc>
        <w:tc>
          <w:tcPr>
            <w:tcW w:w="2460" w:type="dxa"/>
            <w:tcBorders>
              <w:top w:val="single" w:color="000000" w:sz="4" w:space="0"/>
              <w:left w:val="nil"/>
              <w:bottom w:val="single" w:color="000000" w:sz="4" w:space="0"/>
              <w:right w:val="single" w:color="000000" w:sz="4" w:space="0"/>
            </w:tcBorders>
            <w:tcMar>
              <w:top w:w="15" w:type="dxa"/>
              <w:left w:w="108" w:type="dxa"/>
              <w:bottom w:w="15" w:type="dxa"/>
              <w:right w:w="108" w:type="dxa"/>
            </w:tcMar>
            <w:vAlign w:val="center"/>
          </w:tcPr>
          <w:p>
            <w:pPr>
              <w:widowControl/>
              <w:spacing w:before="100" w:beforeAutospacing="1" w:after="100" w:afterAutospacing="1" w:line="320" w:lineRule="atLeast"/>
              <w:jc w:val="center"/>
              <w:rPr>
                <w:rFonts w:ascii="宋体" w:hAnsi="宋体" w:eastAsia="宋体" w:cs="宋体"/>
                <w:kern w:val="0"/>
                <w:sz w:val="24"/>
                <w:szCs w:val="24"/>
              </w:rPr>
            </w:pPr>
            <w:r>
              <w:rPr>
                <w:rFonts w:hint="eastAsia" w:ascii="宋体" w:hAnsi="宋体" w:eastAsia="宋体" w:cs="宋体"/>
                <w:color w:val="000000"/>
                <w:kern w:val="0"/>
                <w:sz w:val="22"/>
              </w:rPr>
              <w:t>责任单位</w:t>
            </w:r>
          </w:p>
        </w:tc>
      </w:tr>
      <w:tr>
        <w:tblPrEx>
          <w:tblCellMar>
            <w:top w:w="15" w:type="dxa"/>
            <w:left w:w="15" w:type="dxa"/>
            <w:bottom w:w="15" w:type="dxa"/>
            <w:right w:w="15" w:type="dxa"/>
          </w:tblCellMar>
        </w:tblPrEx>
        <w:trPr>
          <w:trHeight w:val="1676" w:hRule="atLeast"/>
        </w:trPr>
        <w:tc>
          <w:tcPr>
            <w:tcW w:w="810" w:type="dxa"/>
            <w:tcBorders>
              <w:top w:val="nil"/>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spacing w:before="100" w:beforeAutospacing="1" w:after="100" w:afterAutospacing="1" w:line="320" w:lineRule="atLeast"/>
              <w:jc w:val="center"/>
              <w:rPr>
                <w:rFonts w:ascii="宋体" w:hAnsi="宋体" w:eastAsia="宋体" w:cs="宋体"/>
                <w:kern w:val="0"/>
                <w:sz w:val="24"/>
                <w:szCs w:val="24"/>
              </w:rPr>
            </w:pPr>
            <w:r>
              <w:rPr>
                <w:rFonts w:hint="eastAsia" w:ascii="宋体" w:hAnsi="宋体" w:eastAsia="宋体" w:cs="宋体"/>
                <w:color w:val="000000"/>
                <w:kern w:val="0"/>
                <w:sz w:val="22"/>
              </w:rPr>
              <w:t>1</w:t>
            </w:r>
          </w:p>
        </w:tc>
        <w:tc>
          <w:tcPr>
            <w:tcW w:w="2670" w:type="dxa"/>
            <w:tcBorders>
              <w:top w:val="nil"/>
              <w:left w:val="nil"/>
              <w:bottom w:val="single" w:color="000000" w:sz="4" w:space="0"/>
              <w:right w:val="single" w:color="000000" w:sz="4" w:space="0"/>
            </w:tcBorders>
            <w:tcMar>
              <w:top w:w="15" w:type="dxa"/>
              <w:left w:w="108" w:type="dxa"/>
              <w:bottom w:w="15" w:type="dxa"/>
              <w:right w:w="108" w:type="dxa"/>
            </w:tcMar>
            <w:vAlign w:val="center"/>
          </w:tcPr>
          <w:p>
            <w:pPr>
              <w:widowControl/>
              <w:spacing w:before="100" w:beforeAutospacing="1" w:after="100" w:afterAutospacing="1" w:line="320" w:lineRule="atLeast"/>
              <w:jc w:val="left"/>
              <w:rPr>
                <w:rFonts w:ascii="宋体" w:hAnsi="宋体" w:eastAsia="宋体" w:cs="宋体"/>
                <w:kern w:val="0"/>
                <w:sz w:val="24"/>
                <w:szCs w:val="24"/>
              </w:rPr>
            </w:pPr>
            <w:r>
              <w:rPr>
                <w:rFonts w:hint="eastAsia" w:ascii="宋体" w:hAnsi="宋体" w:eastAsia="宋体" w:cs="宋体"/>
                <w:color w:val="000000"/>
                <w:kern w:val="0"/>
                <w:sz w:val="22"/>
              </w:rPr>
              <w:t>宣传以宪法为核心的中国特色社会主义法律体系。</w:t>
            </w:r>
          </w:p>
        </w:tc>
        <w:tc>
          <w:tcPr>
            <w:tcW w:w="8610" w:type="dxa"/>
            <w:tcBorders>
              <w:top w:val="nil"/>
              <w:left w:val="nil"/>
              <w:bottom w:val="single" w:color="000000" w:sz="4" w:space="0"/>
              <w:right w:val="single" w:color="000000" w:sz="4" w:space="0"/>
            </w:tcBorders>
            <w:tcMar>
              <w:top w:w="15" w:type="dxa"/>
              <w:left w:w="108" w:type="dxa"/>
              <w:bottom w:w="15" w:type="dxa"/>
              <w:right w:w="108" w:type="dxa"/>
            </w:tcMar>
            <w:vAlign w:val="center"/>
          </w:tcPr>
          <w:p>
            <w:pPr>
              <w:widowControl/>
              <w:spacing w:before="100" w:beforeAutospacing="1" w:after="100" w:afterAutospacing="1" w:line="320" w:lineRule="atLeast"/>
              <w:jc w:val="left"/>
              <w:rPr>
                <w:rFonts w:ascii="宋体" w:hAnsi="宋体" w:eastAsia="宋体" w:cs="宋体"/>
                <w:kern w:val="0"/>
                <w:sz w:val="24"/>
                <w:szCs w:val="24"/>
              </w:rPr>
            </w:pPr>
            <w:r>
              <w:rPr>
                <w:rFonts w:hint="eastAsia" w:ascii="宋体" w:hAnsi="宋体" w:eastAsia="宋体" w:cs="宋体"/>
                <w:color w:val="000000"/>
                <w:kern w:val="0"/>
                <w:sz w:val="22"/>
              </w:rPr>
              <w:t>深入学习宣传以宪法为核心的中国特色社会主义法律体系，深入学习宣传党的十九大和十八届三中、四中、五中、六中全会精神和习近平新时代中国特色社会主义思想。</w:t>
            </w:r>
          </w:p>
        </w:tc>
        <w:tc>
          <w:tcPr>
            <w:tcW w:w="2460" w:type="dxa"/>
            <w:tcBorders>
              <w:top w:val="nil"/>
              <w:left w:val="nil"/>
              <w:bottom w:val="single" w:color="000000" w:sz="4" w:space="0"/>
              <w:right w:val="single" w:color="000000" w:sz="4" w:space="0"/>
            </w:tcBorders>
            <w:tcMar>
              <w:top w:w="15" w:type="dxa"/>
              <w:left w:w="108" w:type="dxa"/>
              <w:bottom w:w="15" w:type="dxa"/>
              <w:right w:w="108" w:type="dxa"/>
            </w:tcMar>
            <w:vAlign w:val="center"/>
          </w:tcPr>
          <w:p>
            <w:pPr>
              <w:widowControl/>
              <w:spacing w:before="100" w:beforeAutospacing="1" w:after="100" w:afterAutospacing="1" w:line="320" w:lineRule="atLeast"/>
              <w:jc w:val="left"/>
              <w:rPr>
                <w:rFonts w:ascii="宋体" w:hAnsi="宋体" w:eastAsia="宋体" w:cs="宋体"/>
                <w:kern w:val="0"/>
                <w:sz w:val="24"/>
                <w:szCs w:val="24"/>
              </w:rPr>
            </w:pPr>
            <w:r>
              <w:rPr>
                <w:rFonts w:hint="eastAsia" w:ascii="宋体" w:hAnsi="宋体" w:eastAsia="宋体" w:cs="宋体"/>
                <w:color w:val="000000"/>
                <w:kern w:val="0"/>
                <w:sz w:val="22"/>
              </w:rPr>
              <w:t>人教股，法制股</w:t>
            </w:r>
          </w:p>
        </w:tc>
      </w:tr>
      <w:tr>
        <w:tblPrEx>
          <w:tblCellMar>
            <w:top w:w="15" w:type="dxa"/>
            <w:left w:w="15" w:type="dxa"/>
            <w:bottom w:w="15" w:type="dxa"/>
            <w:right w:w="15" w:type="dxa"/>
          </w:tblCellMar>
        </w:tblPrEx>
        <w:trPr>
          <w:trHeight w:val="1049" w:hRule="atLeast"/>
        </w:trPr>
        <w:tc>
          <w:tcPr>
            <w:tcW w:w="810" w:type="dxa"/>
            <w:tcBorders>
              <w:top w:val="nil"/>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spacing w:before="100" w:beforeAutospacing="1" w:after="100" w:afterAutospacing="1" w:line="320" w:lineRule="atLeast"/>
              <w:jc w:val="center"/>
              <w:rPr>
                <w:rFonts w:ascii="宋体" w:hAnsi="宋体" w:eastAsia="宋体" w:cs="宋体"/>
                <w:kern w:val="0"/>
                <w:sz w:val="24"/>
                <w:szCs w:val="24"/>
              </w:rPr>
            </w:pPr>
            <w:r>
              <w:rPr>
                <w:rFonts w:hint="eastAsia" w:ascii="宋体" w:hAnsi="宋体" w:eastAsia="宋体" w:cs="宋体"/>
                <w:color w:val="000000"/>
                <w:kern w:val="0"/>
                <w:sz w:val="22"/>
              </w:rPr>
              <w:t>2</w:t>
            </w:r>
          </w:p>
        </w:tc>
        <w:tc>
          <w:tcPr>
            <w:tcW w:w="2670" w:type="dxa"/>
            <w:tcBorders>
              <w:top w:val="nil"/>
              <w:left w:val="nil"/>
              <w:bottom w:val="single" w:color="000000" w:sz="4" w:space="0"/>
              <w:right w:val="single" w:color="000000" w:sz="4" w:space="0"/>
            </w:tcBorders>
            <w:tcMar>
              <w:top w:w="15" w:type="dxa"/>
              <w:left w:w="108" w:type="dxa"/>
              <w:bottom w:w="15" w:type="dxa"/>
              <w:right w:w="108" w:type="dxa"/>
            </w:tcMar>
            <w:vAlign w:val="center"/>
          </w:tcPr>
          <w:p>
            <w:pPr>
              <w:widowControl/>
              <w:spacing w:before="100" w:beforeAutospacing="1" w:after="100" w:afterAutospacing="1" w:line="320" w:lineRule="atLeast"/>
              <w:jc w:val="left"/>
              <w:rPr>
                <w:rFonts w:ascii="宋体" w:hAnsi="宋体" w:eastAsia="宋体" w:cs="宋体"/>
                <w:kern w:val="0"/>
                <w:sz w:val="24"/>
                <w:szCs w:val="24"/>
              </w:rPr>
            </w:pPr>
            <w:r>
              <w:rPr>
                <w:rFonts w:hint="eastAsia" w:ascii="宋体" w:hAnsi="宋体" w:eastAsia="宋体" w:cs="宋体"/>
                <w:color w:val="000000"/>
                <w:kern w:val="0"/>
                <w:sz w:val="22"/>
              </w:rPr>
              <w:t>广泛开展面向社会的反腐倡廉法治宣传教育，促进廉政法治文化建设。</w:t>
            </w:r>
          </w:p>
        </w:tc>
        <w:tc>
          <w:tcPr>
            <w:tcW w:w="8610" w:type="dxa"/>
            <w:tcBorders>
              <w:top w:val="nil"/>
              <w:left w:val="nil"/>
              <w:bottom w:val="single" w:color="000000" w:sz="4" w:space="0"/>
              <w:right w:val="single" w:color="000000" w:sz="4" w:space="0"/>
            </w:tcBorders>
            <w:tcMar>
              <w:top w:w="15" w:type="dxa"/>
              <w:left w:w="108" w:type="dxa"/>
              <w:bottom w:w="15" w:type="dxa"/>
              <w:right w:w="108" w:type="dxa"/>
            </w:tcMar>
            <w:vAlign w:val="center"/>
          </w:tcPr>
          <w:p>
            <w:pPr>
              <w:widowControl/>
              <w:spacing w:before="100" w:beforeAutospacing="1" w:after="100" w:afterAutospacing="1" w:line="320" w:lineRule="atLeast"/>
              <w:jc w:val="left"/>
              <w:rPr>
                <w:rFonts w:ascii="宋体" w:hAnsi="宋体" w:eastAsia="宋体" w:cs="宋体"/>
                <w:kern w:val="0"/>
                <w:sz w:val="24"/>
                <w:szCs w:val="24"/>
              </w:rPr>
            </w:pPr>
            <w:r>
              <w:rPr>
                <w:rFonts w:hint="eastAsia" w:ascii="宋体" w:hAnsi="宋体" w:eastAsia="宋体" w:cs="宋体"/>
                <w:color w:val="000000"/>
                <w:kern w:val="0"/>
                <w:sz w:val="22"/>
              </w:rPr>
              <w:t>以新修订的《中国共产党廉洁自律准则》、《中国共产党纪律处分条例》和《行政监察法》、《行政机关公务员处分条例》、八项规定等法律法规规章和党纪条规为主要内容开展反腐倡廉法治宣传教育。</w:t>
            </w:r>
          </w:p>
        </w:tc>
        <w:tc>
          <w:tcPr>
            <w:tcW w:w="2460" w:type="dxa"/>
            <w:tcBorders>
              <w:top w:val="nil"/>
              <w:left w:val="nil"/>
              <w:bottom w:val="single" w:color="000000" w:sz="4" w:space="0"/>
              <w:right w:val="single" w:color="000000" w:sz="4" w:space="0"/>
            </w:tcBorders>
            <w:tcMar>
              <w:top w:w="15" w:type="dxa"/>
              <w:left w:w="108" w:type="dxa"/>
              <w:bottom w:w="15" w:type="dxa"/>
              <w:right w:w="108" w:type="dxa"/>
            </w:tcMar>
            <w:vAlign w:val="center"/>
          </w:tcPr>
          <w:p>
            <w:pPr>
              <w:widowControl/>
              <w:spacing w:before="100" w:beforeAutospacing="1" w:after="100" w:afterAutospacing="1" w:line="320" w:lineRule="atLeast"/>
              <w:jc w:val="left"/>
              <w:rPr>
                <w:rFonts w:ascii="宋体" w:hAnsi="宋体" w:eastAsia="宋体" w:cs="宋体"/>
                <w:kern w:val="0"/>
                <w:sz w:val="24"/>
                <w:szCs w:val="24"/>
              </w:rPr>
            </w:pPr>
            <w:r>
              <w:rPr>
                <w:rFonts w:hint="eastAsia" w:ascii="宋体" w:hAnsi="宋体" w:eastAsia="宋体" w:cs="宋体"/>
                <w:color w:val="000000"/>
                <w:kern w:val="0"/>
                <w:sz w:val="22"/>
              </w:rPr>
              <w:t>监察室</w:t>
            </w:r>
          </w:p>
        </w:tc>
      </w:tr>
      <w:tr>
        <w:tblPrEx>
          <w:tblCellMar>
            <w:top w:w="15" w:type="dxa"/>
            <w:left w:w="15" w:type="dxa"/>
            <w:bottom w:w="15" w:type="dxa"/>
            <w:right w:w="15" w:type="dxa"/>
          </w:tblCellMar>
        </w:tblPrEx>
        <w:trPr>
          <w:trHeight w:val="1049" w:hRule="atLeast"/>
        </w:trPr>
        <w:tc>
          <w:tcPr>
            <w:tcW w:w="810" w:type="dxa"/>
            <w:tcBorders>
              <w:top w:val="nil"/>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spacing w:before="100" w:beforeAutospacing="1" w:after="100" w:afterAutospacing="1" w:line="320" w:lineRule="atLeast"/>
              <w:jc w:val="center"/>
              <w:rPr>
                <w:rFonts w:ascii="宋体" w:hAnsi="宋体" w:eastAsia="宋体" w:cs="宋体"/>
                <w:kern w:val="0"/>
                <w:sz w:val="24"/>
                <w:szCs w:val="24"/>
              </w:rPr>
            </w:pPr>
            <w:r>
              <w:rPr>
                <w:rFonts w:hint="eastAsia" w:ascii="宋体" w:hAnsi="宋体" w:eastAsia="宋体" w:cs="宋体"/>
                <w:color w:val="000000"/>
                <w:kern w:val="0"/>
                <w:sz w:val="22"/>
              </w:rPr>
              <w:t>3</w:t>
            </w:r>
          </w:p>
        </w:tc>
        <w:tc>
          <w:tcPr>
            <w:tcW w:w="2670" w:type="dxa"/>
            <w:tcBorders>
              <w:top w:val="nil"/>
              <w:left w:val="nil"/>
              <w:bottom w:val="single" w:color="000000" w:sz="4" w:space="0"/>
              <w:right w:val="single" w:color="000000" w:sz="4" w:space="0"/>
            </w:tcBorders>
            <w:tcMar>
              <w:top w:w="15" w:type="dxa"/>
              <w:left w:w="108" w:type="dxa"/>
              <w:bottom w:w="15" w:type="dxa"/>
              <w:right w:w="108" w:type="dxa"/>
            </w:tcMar>
            <w:vAlign w:val="center"/>
          </w:tcPr>
          <w:p>
            <w:pPr>
              <w:widowControl/>
              <w:spacing w:before="100" w:beforeAutospacing="1" w:after="100" w:afterAutospacing="1" w:line="320" w:lineRule="atLeast"/>
              <w:jc w:val="left"/>
              <w:rPr>
                <w:rFonts w:ascii="宋体" w:hAnsi="宋体" w:eastAsia="宋体" w:cs="宋体"/>
                <w:kern w:val="0"/>
                <w:sz w:val="24"/>
                <w:szCs w:val="24"/>
              </w:rPr>
            </w:pPr>
            <w:r>
              <w:rPr>
                <w:rFonts w:hint="eastAsia" w:ascii="宋体" w:hAnsi="宋体" w:eastAsia="宋体" w:cs="宋体"/>
                <w:color w:val="000000"/>
                <w:kern w:val="0"/>
                <w:sz w:val="22"/>
              </w:rPr>
              <w:t>宣传食品安全法法律法规，提升食品安全保障能力</w:t>
            </w:r>
          </w:p>
        </w:tc>
        <w:tc>
          <w:tcPr>
            <w:tcW w:w="8610" w:type="dxa"/>
            <w:tcBorders>
              <w:top w:val="nil"/>
              <w:left w:val="nil"/>
              <w:bottom w:val="single" w:color="000000" w:sz="4" w:space="0"/>
              <w:right w:val="single" w:color="000000" w:sz="4" w:space="0"/>
            </w:tcBorders>
            <w:tcMar>
              <w:top w:w="15" w:type="dxa"/>
              <w:left w:w="108" w:type="dxa"/>
              <w:bottom w:w="15" w:type="dxa"/>
              <w:right w:w="108" w:type="dxa"/>
            </w:tcMar>
            <w:vAlign w:val="center"/>
          </w:tcPr>
          <w:p>
            <w:pPr>
              <w:widowControl/>
              <w:spacing w:before="100" w:beforeAutospacing="1" w:after="100" w:afterAutospacing="1" w:line="320" w:lineRule="atLeast"/>
              <w:jc w:val="left"/>
              <w:rPr>
                <w:rFonts w:ascii="宋体" w:hAnsi="宋体" w:eastAsia="宋体" w:cs="宋体"/>
                <w:kern w:val="0"/>
                <w:sz w:val="24"/>
                <w:szCs w:val="24"/>
              </w:rPr>
            </w:pPr>
            <w:r>
              <w:rPr>
                <w:rFonts w:hint="eastAsia" w:ascii="宋体" w:hAnsi="宋体" w:eastAsia="宋体" w:cs="宋体"/>
                <w:color w:val="000000"/>
                <w:kern w:val="0"/>
                <w:sz w:val="22"/>
              </w:rPr>
              <w:t>结合食品专项整治，提高食品安全监管的人员行政执法和监管能力，促进企业依法诚信经营。</w:t>
            </w:r>
          </w:p>
        </w:tc>
        <w:tc>
          <w:tcPr>
            <w:tcW w:w="2460" w:type="dxa"/>
            <w:tcBorders>
              <w:top w:val="nil"/>
              <w:left w:val="nil"/>
              <w:bottom w:val="single" w:color="000000" w:sz="4" w:space="0"/>
              <w:right w:val="single" w:color="000000" w:sz="4" w:space="0"/>
            </w:tcBorders>
            <w:tcMar>
              <w:top w:w="15" w:type="dxa"/>
              <w:left w:w="108" w:type="dxa"/>
              <w:bottom w:w="15" w:type="dxa"/>
              <w:right w:w="108" w:type="dxa"/>
            </w:tcMar>
            <w:vAlign w:val="center"/>
          </w:tcPr>
          <w:p>
            <w:pPr>
              <w:widowControl/>
              <w:spacing w:before="100" w:beforeAutospacing="1" w:after="100" w:afterAutospacing="1" w:line="320" w:lineRule="atLeast"/>
              <w:jc w:val="left"/>
              <w:rPr>
                <w:rFonts w:ascii="宋体" w:hAnsi="宋体" w:eastAsia="宋体" w:cs="宋体"/>
                <w:kern w:val="0"/>
                <w:sz w:val="24"/>
                <w:szCs w:val="24"/>
              </w:rPr>
            </w:pPr>
            <w:r>
              <w:rPr>
                <w:rFonts w:hint="eastAsia" w:ascii="宋体" w:hAnsi="宋体" w:eastAsia="宋体" w:cs="宋体"/>
                <w:color w:val="000000"/>
                <w:kern w:val="0"/>
                <w:sz w:val="20"/>
                <w:szCs w:val="20"/>
              </w:rPr>
              <w:t>食品生产和流通监管科、稽查大队、餐饮服务监管科</w:t>
            </w:r>
          </w:p>
        </w:tc>
      </w:tr>
      <w:tr>
        <w:tblPrEx>
          <w:tblCellMar>
            <w:top w:w="15" w:type="dxa"/>
            <w:left w:w="15" w:type="dxa"/>
            <w:bottom w:w="15" w:type="dxa"/>
            <w:right w:w="15" w:type="dxa"/>
          </w:tblCellMar>
        </w:tblPrEx>
        <w:trPr>
          <w:trHeight w:val="1049" w:hRule="atLeast"/>
        </w:trPr>
        <w:tc>
          <w:tcPr>
            <w:tcW w:w="810" w:type="dxa"/>
            <w:tcBorders>
              <w:top w:val="nil"/>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spacing w:before="100" w:beforeAutospacing="1" w:after="100" w:afterAutospacing="1" w:line="320" w:lineRule="atLeast"/>
              <w:jc w:val="center"/>
              <w:rPr>
                <w:rFonts w:ascii="宋体" w:hAnsi="宋体" w:eastAsia="宋体" w:cs="宋体"/>
                <w:kern w:val="0"/>
                <w:sz w:val="24"/>
                <w:szCs w:val="24"/>
              </w:rPr>
            </w:pPr>
            <w:r>
              <w:rPr>
                <w:rFonts w:hint="eastAsia" w:ascii="宋体" w:hAnsi="宋体" w:eastAsia="宋体" w:cs="宋体"/>
                <w:color w:val="000000"/>
                <w:kern w:val="0"/>
                <w:sz w:val="22"/>
              </w:rPr>
              <w:t>4</w:t>
            </w:r>
          </w:p>
        </w:tc>
        <w:tc>
          <w:tcPr>
            <w:tcW w:w="2670" w:type="dxa"/>
            <w:tcBorders>
              <w:top w:val="nil"/>
              <w:left w:val="nil"/>
              <w:bottom w:val="single" w:color="000000" w:sz="4" w:space="0"/>
              <w:right w:val="single" w:color="000000" w:sz="4" w:space="0"/>
            </w:tcBorders>
            <w:tcMar>
              <w:top w:w="15" w:type="dxa"/>
              <w:left w:w="108" w:type="dxa"/>
              <w:bottom w:w="15" w:type="dxa"/>
              <w:right w:w="108" w:type="dxa"/>
            </w:tcMar>
            <w:vAlign w:val="center"/>
          </w:tcPr>
          <w:p>
            <w:pPr>
              <w:widowControl/>
              <w:spacing w:before="100" w:beforeAutospacing="1" w:after="100" w:afterAutospacing="1" w:line="320" w:lineRule="atLeast"/>
              <w:jc w:val="left"/>
              <w:rPr>
                <w:rFonts w:ascii="宋体" w:hAnsi="宋体" w:eastAsia="宋体" w:cs="宋体"/>
                <w:kern w:val="0"/>
                <w:sz w:val="24"/>
                <w:szCs w:val="24"/>
              </w:rPr>
            </w:pPr>
            <w:r>
              <w:rPr>
                <w:rFonts w:hint="eastAsia" w:ascii="宋体" w:hAnsi="宋体" w:eastAsia="宋体" w:cs="宋体"/>
                <w:color w:val="000000"/>
                <w:kern w:val="0"/>
                <w:sz w:val="22"/>
              </w:rPr>
              <w:t>宣传商事登记改革方面的法律法规，促进经济健康较快发展。</w:t>
            </w:r>
          </w:p>
        </w:tc>
        <w:tc>
          <w:tcPr>
            <w:tcW w:w="8610" w:type="dxa"/>
            <w:tcBorders>
              <w:top w:val="nil"/>
              <w:left w:val="nil"/>
              <w:bottom w:val="single" w:color="000000" w:sz="4" w:space="0"/>
              <w:right w:val="single" w:color="000000" w:sz="4" w:space="0"/>
            </w:tcBorders>
            <w:tcMar>
              <w:top w:w="15" w:type="dxa"/>
              <w:left w:w="108" w:type="dxa"/>
              <w:bottom w:w="15" w:type="dxa"/>
              <w:right w:w="108" w:type="dxa"/>
            </w:tcMar>
            <w:vAlign w:val="center"/>
          </w:tcPr>
          <w:p>
            <w:pPr>
              <w:widowControl/>
              <w:spacing w:before="100" w:beforeAutospacing="1" w:after="100" w:afterAutospacing="1" w:line="320" w:lineRule="atLeast"/>
              <w:jc w:val="left"/>
              <w:rPr>
                <w:rFonts w:ascii="宋体" w:hAnsi="宋体" w:eastAsia="宋体" w:cs="宋体"/>
                <w:kern w:val="0"/>
                <w:sz w:val="24"/>
                <w:szCs w:val="24"/>
              </w:rPr>
            </w:pPr>
            <w:r>
              <w:rPr>
                <w:rFonts w:hint="eastAsia" w:ascii="宋体" w:hAnsi="宋体" w:eastAsia="宋体" w:cs="宋体"/>
                <w:color w:val="000000"/>
                <w:kern w:val="0"/>
                <w:sz w:val="22"/>
              </w:rPr>
              <w:t>积极开展“三证合一、一照一码”、《国务院关于“先照后证”改革后加强事中事后监管的意见》等商事登记制度改革措施宣传培训工作。</w:t>
            </w:r>
          </w:p>
        </w:tc>
        <w:tc>
          <w:tcPr>
            <w:tcW w:w="2460" w:type="dxa"/>
            <w:tcBorders>
              <w:top w:val="nil"/>
              <w:left w:val="nil"/>
              <w:bottom w:val="single" w:color="000000" w:sz="4" w:space="0"/>
              <w:right w:val="single" w:color="000000" w:sz="4" w:space="0"/>
            </w:tcBorders>
            <w:tcMar>
              <w:top w:w="15" w:type="dxa"/>
              <w:left w:w="108" w:type="dxa"/>
              <w:bottom w:w="15" w:type="dxa"/>
              <w:right w:w="108" w:type="dxa"/>
            </w:tcMar>
            <w:vAlign w:val="center"/>
          </w:tcPr>
          <w:p>
            <w:pPr>
              <w:widowControl/>
              <w:spacing w:before="100" w:beforeAutospacing="1" w:after="100" w:afterAutospacing="1" w:line="320" w:lineRule="atLeast"/>
              <w:jc w:val="left"/>
              <w:rPr>
                <w:rFonts w:ascii="宋体" w:hAnsi="宋体" w:eastAsia="宋体" w:cs="宋体"/>
                <w:kern w:val="0"/>
                <w:sz w:val="24"/>
                <w:szCs w:val="24"/>
              </w:rPr>
            </w:pPr>
            <w:r>
              <w:rPr>
                <w:rFonts w:hint="eastAsia" w:ascii="宋体" w:hAnsi="宋体" w:eastAsia="宋体" w:cs="宋体"/>
                <w:color w:val="000000"/>
                <w:kern w:val="0"/>
                <w:sz w:val="22"/>
              </w:rPr>
              <w:t>注册股</w:t>
            </w:r>
          </w:p>
        </w:tc>
      </w:tr>
      <w:tr>
        <w:tblPrEx>
          <w:tblCellMar>
            <w:top w:w="15" w:type="dxa"/>
            <w:left w:w="15" w:type="dxa"/>
            <w:bottom w:w="15" w:type="dxa"/>
            <w:right w:w="15" w:type="dxa"/>
          </w:tblCellMar>
        </w:tblPrEx>
        <w:trPr>
          <w:trHeight w:val="1049" w:hRule="atLeast"/>
        </w:trPr>
        <w:tc>
          <w:tcPr>
            <w:tcW w:w="810" w:type="dxa"/>
            <w:tcBorders>
              <w:top w:val="nil"/>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spacing w:before="100" w:beforeAutospacing="1" w:after="100" w:afterAutospacing="1" w:line="320" w:lineRule="atLeast"/>
              <w:jc w:val="center"/>
              <w:rPr>
                <w:rFonts w:ascii="宋体" w:hAnsi="宋体" w:eastAsia="宋体" w:cs="宋体"/>
                <w:kern w:val="0"/>
                <w:sz w:val="24"/>
                <w:szCs w:val="24"/>
              </w:rPr>
            </w:pPr>
            <w:r>
              <w:rPr>
                <w:rFonts w:hint="eastAsia" w:ascii="宋体" w:hAnsi="宋体" w:eastAsia="宋体" w:cs="宋体"/>
                <w:color w:val="000000"/>
                <w:kern w:val="0"/>
                <w:sz w:val="22"/>
              </w:rPr>
              <w:t>5</w:t>
            </w:r>
          </w:p>
        </w:tc>
        <w:tc>
          <w:tcPr>
            <w:tcW w:w="2670" w:type="dxa"/>
            <w:tcBorders>
              <w:top w:val="nil"/>
              <w:left w:val="nil"/>
              <w:bottom w:val="single" w:color="000000" w:sz="4" w:space="0"/>
              <w:right w:val="single" w:color="000000" w:sz="4" w:space="0"/>
            </w:tcBorders>
            <w:tcMar>
              <w:top w:w="15" w:type="dxa"/>
              <w:left w:w="108" w:type="dxa"/>
              <w:bottom w:w="15" w:type="dxa"/>
              <w:right w:w="108" w:type="dxa"/>
            </w:tcMar>
            <w:vAlign w:val="center"/>
          </w:tcPr>
          <w:p>
            <w:pPr>
              <w:widowControl/>
              <w:spacing w:before="100" w:beforeAutospacing="1" w:after="100" w:afterAutospacing="1" w:line="320" w:lineRule="atLeast"/>
              <w:jc w:val="left"/>
              <w:rPr>
                <w:rFonts w:ascii="宋体" w:hAnsi="宋体" w:eastAsia="宋体" w:cs="宋体"/>
                <w:kern w:val="0"/>
                <w:sz w:val="24"/>
                <w:szCs w:val="24"/>
              </w:rPr>
            </w:pPr>
            <w:r>
              <w:rPr>
                <w:rFonts w:hint="eastAsia" w:ascii="宋体" w:hAnsi="宋体" w:eastAsia="宋体" w:cs="宋体"/>
                <w:color w:val="000000"/>
                <w:kern w:val="0"/>
                <w:sz w:val="22"/>
              </w:rPr>
              <w:t>宣传消费者权益保护方面的法律法规，增强消费者的法律意识和维权意识</w:t>
            </w:r>
          </w:p>
        </w:tc>
        <w:tc>
          <w:tcPr>
            <w:tcW w:w="8610" w:type="dxa"/>
            <w:tcBorders>
              <w:top w:val="nil"/>
              <w:left w:val="nil"/>
              <w:bottom w:val="single" w:color="000000" w:sz="4" w:space="0"/>
              <w:right w:val="single" w:color="000000" w:sz="4" w:space="0"/>
            </w:tcBorders>
            <w:tcMar>
              <w:top w:w="15" w:type="dxa"/>
              <w:left w:w="108" w:type="dxa"/>
              <w:bottom w:w="15" w:type="dxa"/>
              <w:right w:w="108" w:type="dxa"/>
            </w:tcMar>
            <w:vAlign w:val="center"/>
          </w:tcPr>
          <w:p>
            <w:pPr>
              <w:widowControl/>
              <w:spacing w:before="100" w:beforeAutospacing="1" w:after="100" w:afterAutospacing="1" w:line="320" w:lineRule="atLeast"/>
              <w:jc w:val="left"/>
              <w:rPr>
                <w:rFonts w:ascii="宋体" w:hAnsi="宋体" w:eastAsia="宋体" w:cs="宋体"/>
                <w:kern w:val="0"/>
                <w:sz w:val="24"/>
                <w:szCs w:val="24"/>
              </w:rPr>
            </w:pPr>
            <w:r>
              <w:rPr>
                <w:rFonts w:hint="eastAsia" w:ascii="宋体" w:hAnsi="宋体" w:eastAsia="宋体" w:cs="宋体"/>
                <w:color w:val="000000"/>
                <w:kern w:val="0"/>
                <w:sz w:val="22"/>
              </w:rPr>
              <w:t>利用“3·15”国际消费者权益保护日，深入开展消费者权益保护法治宣传教育。重点宣传新修订的《消费者权益保护法》引导消费者增强自我保护意识，提高依法维权能力。</w:t>
            </w:r>
          </w:p>
        </w:tc>
        <w:tc>
          <w:tcPr>
            <w:tcW w:w="2460" w:type="dxa"/>
            <w:tcBorders>
              <w:top w:val="nil"/>
              <w:left w:val="nil"/>
              <w:bottom w:val="single" w:color="000000" w:sz="4" w:space="0"/>
              <w:right w:val="single" w:color="000000" w:sz="4" w:space="0"/>
            </w:tcBorders>
            <w:tcMar>
              <w:top w:w="15" w:type="dxa"/>
              <w:left w:w="108" w:type="dxa"/>
              <w:bottom w:w="15" w:type="dxa"/>
              <w:right w:w="108" w:type="dxa"/>
            </w:tcMar>
            <w:vAlign w:val="center"/>
          </w:tcPr>
          <w:p>
            <w:pPr>
              <w:widowControl/>
              <w:spacing w:before="100" w:beforeAutospacing="1" w:after="100" w:afterAutospacing="1" w:line="320" w:lineRule="atLeast"/>
              <w:jc w:val="left"/>
              <w:rPr>
                <w:rFonts w:ascii="宋体" w:hAnsi="宋体" w:eastAsia="宋体" w:cs="宋体"/>
                <w:kern w:val="0"/>
                <w:sz w:val="24"/>
                <w:szCs w:val="24"/>
              </w:rPr>
            </w:pPr>
            <w:r>
              <w:rPr>
                <w:rFonts w:hint="eastAsia" w:ascii="宋体" w:hAnsi="宋体" w:eastAsia="宋体" w:cs="宋体"/>
                <w:color w:val="000000"/>
                <w:kern w:val="0"/>
                <w:sz w:val="22"/>
              </w:rPr>
              <w:t>消保股、消协</w:t>
            </w:r>
          </w:p>
        </w:tc>
      </w:tr>
      <w:tr>
        <w:tblPrEx>
          <w:tblCellMar>
            <w:top w:w="15" w:type="dxa"/>
            <w:left w:w="15" w:type="dxa"/>
            <w:bottom w:w="15" w:type="dxa"/>
            <w:right w:w="15" w:type="dxa"/>
          </w:tblCellMar>
        </w:tblPrEx>
        <w:trPr>
          <w:trHeight w:val="1308" w:hRule="atLeast"/>
        </w:trPr>
        <w:tc>
          <w:tcPr>
            <w:tcW w:w="810" w:type="dxa"/>
            <w:tcBorders>
              <w:top w:val="single" w:color="auto"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spacing w:before="100" w:beforeAutospacing="1" w:after="100" w:afterAutospacing="1" w:line="320" w:lineRule="atLeast"/>
              <w:jc w:val="center"/>
              <w:rPr>
                <w:rFonts w:ascii="宋体" w:hAnsi="宋体" w:eastAsia="宋体" w:cs="宋体"/>
                <w:kern w:val="0"/>
                <w:sz w:val="24"/>
                <w:szCs w:val="24"/>
              </w:rPr>
            </w:pPr>
            <w:r>
              <w:rPr>
                <w:rFonts w:hint="eastAsia" w:ascii="宋体" w:hAnsi="宋体" w:eastAsia="宋体" w:cs="宋体"/>
                <w:color w:val="000000"/>
                <w:kern w:val="0"/>
                <w:sz w:val="22"/>
              </w:rPr>
              <w:t>6</w:t>
            </w:r>
          </w:p>
        </w:tc>
        <w:tc>
          <w:tcPr>
            <w:tcW w:w="2670" w:type="dxa"/>
            <w:tcBorders>
              <w:top w:val="single" w:color="auto" w:sz="4" w:space="0"/>
              <w:left w:val="nil"/>
              <w:bottom w:val="single" w:color="000000" w:sz="4" w:space="0"/>
              <w:right w:val="single" w:color="000000" w:sz="4" w:space="0"/>
            </w:tcBorders>
            <w:tcMar>
              <w:top w:w="15" w:type="dxa"/>
              <w:left w:w="108" w:type="dxa"/>
              <w:bottom w:w="15" w:type="dxa"/>
              <w:right w:w="108" w:type="dxa"/>
            </w:tcMar>
            <w:vAlign w:val="center"/>
          </w:tcPr>
          <w:p>
            <w:pPr>
              <w:widowControl/>
              <w:spacing w:before="100" w:beforeAutospacing="1" w:after="100" w:afterAutospacing="1" w:line="320" w:lineRule="atLeast"/>
              <w:jc w:val="left"/>
              <w:rPr>
                <w:rFonts w:ascii="宋体" w:hAnsi="宋体" w:eastAsia="宋体" w:cs="宋体"/>
                <w:kern w:val="0"/>
                <w:sz w:val="24"/>
                <w:szCs w:val="24"/>
              </w:rPr>
            </w:pPr>
            <w:r>
              <w:rPr>
                <w:rFonts w:hint="eastAsia" w:ascii="宋体" w:hAnsi="宋体" w:eastAsia="宋体" w:cs="宋体"/>
                <w:color w:val="000000"/>
                <w:kern w:val="0"/>
                <w:sz w:val="22"/>
              </w:rPr>
              <w:t>宣传保护知识产权、产品质量等方面的法律法规，促进创新建设。</w:t>
            </w:r>
          </w:p>
        </w:tc>
        <w:tc>
          <w:tcPr>
            <w:tcW w:w="8610" w:type="dxa"/>
            <w:tcBorders>
              <w:top w:val="single" w:color="auto" w:sz="4" w:space="0"/>
              <w:left w:val="nil"/>
              <w:bottom w:val="single" w:color="000000" w:sz="4" w:space="0"/>
              <w:right w:val="single" w:color="000000" w:sz="4" w:space="0"/>
            </w:tcBorders>
            <w:tcMar>
              <w:top w:w="15" w:type="dxa"/>
              <w:left w:w="108" w:type="dxa"/>
              <w:bottom w:w="15" w:type="dxa"/>
              <w:right w:w="108" w:type="dxa"/>
            </w:tcMar>
            <w:vAlign w:val="center"/>
          </w:tcPr>
          <w:p>
            <w:pPr>
              <w:widowControl/>
              <w:spacing w:before="100" w:beforeAutospacing="1" w:after="100" w:afterAutospacing="1" w:line="320" w:lineRule="atLeast"/>
              <w:jc w:val="left"/>
              <w:rPr>
                <w:rFonts w:ascii="宋体" w:hAnsi="宋体" w:eastAsia="宋体" w:cs="宋体"/>
                <w:kern w:val="0"/>
                <w:sz w:val="24"/>
                <w:szCs w:val="24"/>
              </w:rPr>
            </w:pPr>
            <w:r>
              <w:rPr>
                <w:rFonts w:hint="eastAsia" w:ascii="宋体" w:hAnsi="宋体" w:eastAsia="宋体" w:cs="宋体"/>
                <w:color w:val="000000"/>
                <w:kern w:val="0"/>
                <w:sz w:val="22"/>
              </w:rPr>
              <w:t>利用“4·26”世界知识产权日，宣传新修订的《商标法》、《标准化法》和《产品质量法》、国家工商总局《关于贯彻落实〈国家知识产权战略纲要〉大力推进商标战略实施的意见》,倡导经营者树立知识产权意识.</w:t>
            </w:r>
          </w:p>
        </w:tc>
        <w:tc>
          <w:tcPr>
            <w:tcW w:w="2460" w:type="dxa"/>
            <w:tcBorders>
              <w:top w:val="single" w:color="auto" w:sz="4" w:space="0"/>
              <w:left w:val="nil"/>
              <w:bottom w:val="single" w:color="000000" w:sz="4" w:space="0"/>
              <w:right w:val="single" w:color="000000" w:sz="4" w:space="0"/>
            </w:tcBorders>
            <w:tcMar>
              <w:top w:w="15" w:type="dxa"/>
              <w:left w:w="108" w:type="dxa"/>
              <w:bottom w:w="15" w:type="dxa"/>
              <w:right w:w="108" w:type="dxa"/>
            </w:tcMar>
            <w:vAlign w:val="center"/>
          </w:tcPr>
          <w:p>
            <w:pPr>
              <w:widowControl/>
              <w:spacing w:before="100" w:beforeAutospacing="1" w:after="100" w:afterAutospacing="1" w:line="320" w:lineRule="atLeast"/>
              <w:jc w:val="left"/>
              <w:rPr>
                <w:rFonts w:ascii="宋体" w:hAnsi="宋体" w:eastAsia="宋体" w:cs="宋体"/>
                <w:kern w:val="0"/>
                <w:sz w:val="24"/>
                <w:szCs w:val="24"/>
              </w:rPr>
            </w:pPr>
            <w:r>
              <w:rPr>
                <w:rFonts w:hint="eastAsia" w:ascii="宋体" w:hAnsi="宋体" w:eastAsia="宋体" w:cs="宋体"/>
                <w:color w:val="000000"/>
                <w:kern w:val="0"/>
                <w:sz w:val="22"/>
              </w:rPr>
              <w:t>监管股、 业务一、二股</w:t>
            </w:r>
          </w:p>
        </w:tc>
      </w:tr>
      <w:tr>
        <w:tblPrEx>
          <w:tblCellMar>
            <w:top w:w="15" w:type="dxa"/>
            <w:left w:w="15" w:type="dxa"/>
            <w:bottom w:w="15" w:type="dxa"/>
            <w:right w:w="15" w:type="dxa"/>
          </w:tblCellMar>
        </w:tblPrEx>
        <w:trPr>
          <w:trHeight w:val="1020" w:hRule="atLeast"/>
        </w:trPr>
        <w:tc>
          <w:tcPr>
            <w:tcW w:w="810" w:type="dxa"/>
            <w:tcBorders>
              <w:top w:val="nil"/>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spacing w:before="100" w:beforeAutospacing="1" w:after="100" w:afterAutospacing="1" w:line="320" w:lineRule="atLeast"/>
              <w:jc w:val="center"/>
              <w:rPr>
                <w:rFonts w:ascii="宋体" w:hAnsi="宋体" w:eastAsia="宋体" w:cs="宋体"/>
                <w:kern w:val="0"/>
                <w:sz w:val="24"/>
                <w:szCs w:val="24"/>
              </w:rPr>
            </w:pPr>
            <w:r>
              <w:rPr>
                <w:rFonts w:hint="eastAsia" w:ascii="宋体" w:hAnsi="宋体" w:eastAsia="宋体" w:cs="宋体"/>
                <w:color w:val="000000"/>
                <w:kern w:val="0"/>
                <w:sz w:val="22"/>
              </w:rPr>
              <w:t>7</w:t>
            </w:r>
          </w:p>
        </w:tc>
        <w:tc>
          <w:tcPr>
            <w:tcW w:w="2670" w:type="dxa"/>
            <w:tcBorders>
              <w:top w:val="nil"/>
              <w:left w:val="nil"/>
              <w:bottom w:val="single" w:color="000000" w:sz="4" w:space="0"/>
              <w:right w:val="single" w:color="000000" w:sz="4" w:space="0"/>
            </w:tcBorders>
            <w:tcMar>
              <w:top w:w="15" w:type="dxa"/>
              <w:left w:w="108" w:type="dxa"/>
              <w:bottom w:w="15" w:type="dxa"/>
              <w:right w:w="108" w:type="dxa"/>
            </w:tcMar>
            <w:vAlign w:val="center"/>
          </w:tcPr>
          <w:p>
            <w:pPr>
              <w:widowControl/>
              <w:spacing w:before="100" w:beforeAutospacing="1" w:after="100" w:afterAutospacing="1" w:line="320" w:lineRule="atLeast"/>
              <w:jc w:val="left"/>
              <w:rPr>
                <w:rFonts w:ascii="宋体" w:hAnsi="宋体" w:eastAsia="宋体" w:cs="宋体"/>
                <w:kern w:val="0"/>
                <w:sz w:val="24"/>
                <w:szCs w:val="24"/>
              </w:rPr>
            </w:pPr>
            <w:r>
              <w:rPr>
                <w:rFonts w:hint="eastAsia" w:ascii="宋体" w:hAnsi="宋体" w:eastAsia="宋体" w:cs="宋体"/>
                <w:color w:val="000000"/>
                <w:kern w:val="0"/>
                <w:sz w:val="22"/>
              </w:rPr>
              <w:t>宣传医疗器械方面的法律法规</w:t>
            </w:r>
          </w:p>
        </w:tc>
        <w:tc>
          <w:tcPr>
            <w:tcW w:w="8610" w:type="dxa"/>
            <w:tcBorders>
              <w:top w:val="nil"/>
              <w:left w:val="nil"/>
              <w:bottom w:val="single" w:color="000000" w:sz="4" w:space="0"/>
              <w:right w:val="single" w:color="000000" w:sz="4" w:space="0"/>
            </w:tcBorders>
            <w:tcMar>
              <w:top w:w="15" w:type="dxa"/>
              <w:left w:w="108" w:type="dxa"/>
              <w:bottom w:w="15" w:type="dxa"/>
              <w:right w:w="108" w:type="dxa"/>
            </w:tcMar>
            <w:vAlign w:val="center"/>
          </w:tcPr>
          <w:p>
            <w:pPr>
              <w:widowControl/>
              <w:spacing w:before="100" w:beforeAutospacing="1" w:after="100" w:afterAutospacing="1" w:line="320" w:lineRule="atLeast"/>
              <w:jc w:val="left"/>
              <w:rPr>
                <w:rFonts w:ascii="宋体" w:hAnsi="宋体" w:eastAsia="宋体" w:cs="宋体"/>
                <w:kern w:val="0"/>
                <w:sz w:val="24"/>
                <w:szCs w:val="24"/>
              </w:rPr>
            </w:pPr>
            <w:r>
              <w:rPr>
                <w:rFonts w:hint="eastAsia" w:ascii="宋体" w:hAnsi="宋体" w:eastAsia="宋体" w:cs="宋体"/>
                <w:color w:val="000000"/>
                <w:kern w:val="0"/>
                <w:sz w:val="22"/>
              </w:rPr>
              <w:t>以医疗器械规范化经营示范企业创建活动为依托，宣传医疗器械法律法规，提升医疗器械经营质量管理水平，保障公众用械安全有效。</w:t>
            </w:r>
          </w:p>
        </w:tc>
        <w:tc>
          <w:tcPr>
            <w:tcW w:w="2460" w:type="dxa"/>
            <w:tcBorders>
              <w:top w:val="nil"/>
              <w:left w:val="nil"/>
              <w:bottom w:val="single" w:color="000000" w:sz="4" w:space="0"/>
              <w:right w:val="single" w:color="000000" w:sz="4" w:space="0"/>
            </w:tcBorders>
            <w:tcMar>
              <w:top w:w="15" w:type="dxa"/>
              <w:left w:w="108" w:type="dxa"/>
              <w:bottom w:w="15" w:type="dxa"/>
              <w:right w:w="108" w:type="dxa"/>
            </w:tcMar>
            <w:vAlign w:val="center"/>
          </w:tcPr>
          <w:p>
            <w:pPr>
              <w:widowControl/>
              <w:spacing w:before="100" w:beforeAutospacing="1" w:after="100" w:afterAutospacing="1" w:line="320" w:lineRule="atLeast"/>
              <w:jc w:val="left"/>
              <w:rPr>
                <w:rFonts w:ascii="宋体" w:hAnsi="宋体" w:eastAsia="宋体" w:cs="宋体"/>
                <w:kern w:val="0"/>
                <w:sz w:val="24"/>
                <w:szCs w:val="24"/>
              </w:rPr>
            </w:pPr>
            <w:r>
              <w:rPr>
                <w:rFonts w:hint="eastAsia" w:ascii="宋体" w:hAnsi="宋体" w:eastAsia="宋体" w:cs="宋体"/>
                <w:color w:val="000000"/>
                <w:kern w:val="0"/>
                <w:sz w:val="22"/>
              </w:rPr>
              <w:t>药化械科</w:t>
            </w:r>
          </w:p>
        </w:tc>
      </w:tr>
      <w:tr>
        <w:tblPrEx>
          <w:tblCellMar>
            <w:top w:w="15" w:type="dxa"/>
            <w:left w:w="15" w:type="dxa"/>
            <w:bottom w:w="15" w:type="dxa"/>
            <w:right w:w="15" w:type="dxa"/>
          </w:tblCellMar>
        </w:tblPrEx>
        <w:trPr>
          <w:trHeight w:val="1020" w:hRule="atLeast"/>
        </w:trPr>
        <w:tc>
          <w:tcPr>
            <w:tcW w:w="810" w:type="dxa"/>
            <w:tcBorders>
              <w:top w:val="nil"/>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spacing w:before="100" w:beforeAutospacing="1" w:after="100" w:afterAutospacing="1" w:line="320" w:lineRule="atLeast"/>
              <w:jc w:val="center"/>
              <w:rPr>
                <w:rFonts w:ascii="宋体" w:hAnsi="宋体" w:eastAsia="宋体" w:cs="宋体"/>
                <w:kern w:val="0"/>
                <w:sz w:val="24"/>
                <w:szCs w:val="24"/>
              </w:rPr>
            </w:pPr>
            <w:r>
              <w:rPr>
                <w:rFonts w:hint="eastAsia" w:ascii="宋体" w:hAnsi="宋体" w:eastAsia="宋体" w:cs="宋体"/>
                <w:color w:val="000000"/>
                <w:kern w:val="0"/>
                <w:sz w:val="22"/>
              </w:rPr>
              <w:t>8</w:t>
            </w:r>
          </w:p>
        </w:tc>
        <w:tc>
          <w:tcPr>
            <w:tcW w:w="2670" w:type="dxa"/>
            <w:tcBorders>
              <w:top w:val="nil"/>
              <w:left w:val="nil"/>
              <w:bottom w:val="single" w:color="000000" w:sz="4" w:space="0"/>
              <w:right w:val="single" w:color="000000" w:sz="4" w:space="0"/>
            </w:tcBorders>
            <w:tcMar>
              <w:top w:w="15" w:type="dxa"/>
              <w:left w:w="108" w:type="dxa"/>
              <w:bottom w:w="15" w:type="dxa"/>
              <w:right w:w="108" w:type="dxa"/>
            </w:tcMar>
            <w:vAlign w:val="center"/>
          </w:tcPr>
          <w:p>
            <w:pPr>
              <w:widowControl/>
              <w:spacing w:before="100" w:beforeAutospacing="1" w:after="100" w:afterAutospacing="1" w:line="320" w:lineRule="atLeast"/>
              <w:jc w:val="left"/>
              <w:rPr>
                <w:rFonts w:ascii="宋体" w:hAnsi="宋体" w:eastAsia="宋体" w:cs="宋体"/>
                <w:kern w:val="0"/>
                <w:sz w:val="24"/>
                <w:szCs w:val="24"/>
              </w:rPr>
            </w:pPr>
            <w:r>
              <w:rPr>
                <w:rFonts w:hint="eastAsia" w:ascii="宋体" w:hAnsi="宋体" w:eastAsia="宋体" w:cs="宋体"/>
                <w:color w:val="000000"/>
                <w:kern w:val="0"/>
                <w:sz w:val="22"/>
              </w:rPr>
              <w:t>宣传维护公平竞争市场秩序方面的法律法规</w:t>
            </w:r>
          </w:p>
        </w:tc>
        <w:tc>
          <w:tcPr>
            <w:tcW w:w="8610" w:type="dxa"/>
            <w:tcBorders>
              <w:top w:val="nil"/>
              <w:left w:val="nil"/>
              <w:bottom w:val="single" w:color="000000" w:sz="4" w:space="0"/>
              <w:right w:val="single" w:color="000000" w:sz="4" w:space="0"/>
            </w:tcBorders>
            <w:tcMar>
              <w:top w:w="15" w:type="dxa"/>
              <w:left w:w="108" w:type="dxa"/>
              <w:bottom w:w="15" w:type="dxa"/>
              <w:right w:w="108" w:type="dxa"/>
            </w:tcMar>
            <w:vAlign w:val="center"/>
          </w:tcPr>
          <w:p>
            <w:pPr>
              <w:widowControl/>
              <w:spacing w:before="100" w:beforeAutospacing="1" w:after="100" w:afterAutospacing="1" w:line="320" w:lineRule="atLeast"/>
              <w:jc w:val="left"/>
              <w:rPr>
                <w:rFonts w:ascii="宋体" w:hAnsi="宋体" w:eastAsia="宋体" w:cs="宋体"/>
                <w:kern w:val="0"/>
                <w:sz w:val="24"/>
                <w:szCs w:val="24"/>
              </w:rPr>
            </w:pPr>
            <w:r>
              <w:rPr>
                <w:rFonts w:hint="eastAsia" w:ascii="宋体" w:hAnsi="宋体" w:eastAsia="宋体" w:cs="宋体"/>
                <w:color w:val="000000"/>
                <w:kern w:val="0"/>
                <w:sz w:val="22"/>
              </w:rPr>
              <w:t>以规范市场秩序、营造公平竞争的市场环境为目标，宣传《反不正当竞争法》、《直销管理条例》等法律法规规章，结合打击传销专项行动，开展法律进社区活动。</w:t>
            </w:r>
          </w:p>
        </w:tc>
        <w:tc>
          <w:tcPr>
            <w:tcW w:w="2460" w:type="dxa"/>
            <w:tcBorders>
              <w:top w:val="nil"/>
              <w:left w:val="nil"/>
              <w:bottom w:val="single" w:color="000000" w:sz="4" w:space="0"/>
              <w:right w:val="single" w:color="000000" w:sz="4" w:space="0"/>
            </w:tcBorders>
            <w:tcMar>
              <w:top w:w="15" w:type="dxa"/>
              <w:left w:w="108" w:type="dxa"/>
              <w:bottom w:w="15" w:type="dxa"/>
              <w:right w:w="108" w:type="dxa"/>
            </w:tcMar>
            <w:vAlign w:val="center"/>
          </w:tcPr>
          <w:p>
            <w:pPr>
              <w:widowControl/>
              <w:spacing w:before="100" w:beforeAutospacing="1" w:after="100" w:afterAutospacing="1" w:line="320" w:lineRule="atLeast"/>
              <w:jc w:val="left"/>
              <w:rPr>
                <w:rFonts w:ascii="宋体" w:hAnsi="宋体" w:eastAsia="宋体" w:cs="宋体"/>
                <w:kern w:val="0"/>
                <w:sz w:val="24"/>
                <w:szCs w:val="24"/>
              </w:rPr>
            </w:pPr>
            <w:r>
              <w:rPr>
                <w:rFonts w:hint="eastAsia" w:ascii="宋体" w:hAnsi="宋体" w:eastAsia="宋体" w:cs="宋体"/>
                <w:color w:val="000000"/>
                <w:spacing w:val="-4"/>
                <w:kern w:val="0"/>
                <w:sz w:val="20"/>
                <w:szCs w:val="20"/>
              </w:rPr>
              <w:t>监管股</w:t>
            </w:r>
          </w:p>
        </w:tc>
      </w:tr>
      <w:tr>
        <w:tblPrEx>
          <w:tblCellMar>
            <w:top w:w="15" w:type="dxa"/>
            <w:left w:w="15" w:type="dxa"/>
            <w:bottom w:w="15" w:type="dxa"/>
            <w:right w:w="15" w:type="dxa"/>
          </w:tblCellMar>
        </w:tblPrEx>
        <w:trPr>
          <w:trHeight w:val="1020" w:hRule="atLeast"/>
        </w:trPr>
        <w:tc>
          <w:tcPr>
            <w:tcW w:w="810" w:type="dxa"/>
            <w:tcBorders>
              <w:top w:val="nil"/>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spacing w:before="100" w:beforeAutospacing="1" w:after="100" w:afterAutospacing="1" w:line="320" w:lineRule="atLeast"/>
              <w:jc w:val="center"/>
              <w:rPr>
                <w:rFonts w:ascii="宋体" w:hAnsi="宋体" w:eastAsia="宋体" w:cs="宋体"/>
                <w:kern w:val="0"/>
                <w:sz w:val="24"/>
                <w:szCs w:val="24"/>
              </w:rPr>
            </w:pPr>
            <w:r>
              <w:rPr>
                <w:rFonts w:hint="eastAsia" w:ascii="宋体" w:hAnsi="宋体" w:eastAsia="宋体" w:cs="宋体"/>
                <w:color w:val="000000"/>
                <w:kern w:val="0"/>
                <w:sz w:val="22"/>
              </w:rPr>
              <w:t>9</w:t>
            </w:r>
          </w:p>
        </w:tc>
        <w:tc>
          <w:tcPr>
            <w:tcW w:w="2670" w:type="dxa"/>
            <w:tcBorders>
              <w:top w:val="nil"/>
              <w:left w:val="nil"/>
              <w:bottom w:val="single" w:color="000000" w:sz="4" w:space="0"/>
              <w:right w:val="single" w:color="000000" w:sz="4" w:space="0"/>
            </w:tcBorders>
            <w:tcMar>
              <w:top w:w="15" w:type="dxa"/>
              <w:left w:w="108" w:type="dxa"/>
              <w:bottom w:w="15" w:type="dxa"/>
              <w:right w:w="108" w:type="dxa"/>
            </w:tcMar>
            <w:vAlign w:val="center"/>
          </w:tcPr>
          <w:p>
            <w:pPr>
              <w:widowControl/>
              <w:spacing w:before="100" w:beforeAutospacing="1" w:after="100" w:afterAutospacing="1" w:line="320" w:lineRule="atLeast"/>
              <w:jc w:val="left"/>
              <w:rPr>
                <w:rFonts w:ascii="宋体" w:hAnsi="宋体" w:eastAsia="宋体" w:cs="宋体"/>
                <w:kern w:val="0"/>
                <w:sz w:val="24"/>
                <w:szCs w:val="24"/>
              </w:rPr>
            </w:pPr>
            <w:r>
              <w:rPr>
                <w:rFonts w:hint="eastAsia" w:ascii="宋体" w:hAnsi="宋体" w:eastAsia="宋体" w:cs="宋体"/>
                <w:color w:val="000000"/>
                <w:kern w:val="0"/>
                <w:sz w:val="22"/>
              </w:rPr>
              <w:t>宣传广告监管方面的法律法规</w:t>
            </w:r>
          </w:p>
        </w:tc>
        <w:tc>
          <w:tcPr>
            <w:tcW w:w="8610" w:type="dxa"/>
            <w:tcBorders>
              <w:top w:val="nil"/>
              <w:left w:val="nil"/>
              <w:bottom w:val="single" w:color="000000" w:sz="4" w:space="0"/>
              <w:right w:val="single" w:color="000000" w:sz="4" w:space="0"/>
            </w:tcBorders>
            <w:tcMar>
              <w:top w:w="15" w:type="dxa"/>
              <w:left w:w="108" w:type="dxa"/>
              <w:bottom w:w="15" w:type="dxa"/>
              <w:right w:w="108" w:type="dxa"/>
            </w:tcMar>
            <w:vAlign w:val="center"/>
          </w:tcPr>
          <w:p>
            <w:pPr>
              <w:widowControl/>
              <w:spacing w:before="100" w:beforeAutospacing="1" w:after="100" w:afterAutospacing="1" w:line="320" w:lineRule="atLeast"/>
              <w:jc w:val="left"/>
              <w:rPr>
                <w:rFonts w:ascii="宋体" w:hAnsi="宋体" w:eastAsia="宋体" w:cs="宋体"/>
                <w:kern w:val="0"/>
                <w:sz w:val="24"/>
                <w:szCs w:val="24"/>
              </w:rPr>
            </w:pPr>
            <w:r>
              <w:rPr>
                <w:rFonts w:hint="eastAsia" w:ascii="宋体" w:hAnsi="宋体" w:eastAsia="宋体" w:cs="宋体"/>
                <w:color w:val="000000"/>
                <w:kern w:val="0"/>
                <w:sz w:val="22"/>
              </w:rPr>
              <w:t>结合虚假违法广告整治活动，大力开展新修订的《广告法》等法律法规规章的宣传活动。</w:t>
            </w:r>
          </w:p>
        </w:tc>
        <w:tc>
          <w:tcPr>
            <w:tcW w:w="2460" w:type="dxa"/>
            <w:tcBorders>
              <w:top w:val="nil"/>
              <w:left w:val="nil"/>
              <w:bottom w:val="single" w:color="000000" w:sz="4" w:space="0"/>
              <w:right w:val="single" w:color="000000" w:sz="4" w:space="0"/>
            </w:tcBorders>
            <w:tcMar>
              <w:top w:w="15" w:type="dxa"/>
              <w:left w:w="108" w:type="dxa"/>
              <w:bottom w:w="15" w:type="dxa"/>
              <w:right w:w="108" w:type="dxa"/>
            </w:tcMar>
            <w:vAlign w:val="center"/>
          </w:tcPr>
          <w:p>
            <w:pPr>
              <w:widowControl/>
              <w:spacing w:before="100" w:beforeAutospacing="1" w:after="100" w:afterAutospacing="1" w:line="320" w:lineRule="atLeast"/>
              <w:jc w:val="left"/>
              <w:rPr>
                <w:rFonts w:ascii="宋体" w:hAnsi="宋体" w:eastAsia="宋体" w:cs="宋体"/>
                <w:kern w:val="0"/>
                <w:sz w:val="24"/>
                <w:szCs w:val="24"/>
              </w:rPr>
            </w:pPr>
            <w:r>
              <w:rPr>
                <w:rFonts w:hint="eastAsia" w:ascii="宋体" w:hAnsi="宋体" w:eastAsia="宋体" w:cs="宋体"/>
                <w:color w:val="000000"/>
                <w:kern w:val="0"/>
                <w:sz w:val="20"/>
                <w:szCs w:val="20"/>
              </w:rPr>
              <w:t>监管股</w:t>
            </w:r>
          </w:p>
        </w:tc>
      </w:tr>
      <w:tr>
        <w:tblPrEx>
          <w:tblCellMar>
            <w:top w:w="15" w:type="dxa"/>
            <w:left w:w="15" w:type="dxa"/>
            <w:bottom w:w="15" w:type="dxa"/>
            <w:right w:w="15" w:type="dxa"/>
          </w:tblCellMar>
        </w:tblPrEx>
        <w:trPr>
          <w:trHeight w:val="1021" w:hRule="atLeast"/>
        </w:trPr>
        <w:tc>
          <w:tcPr>
            <w:tcW w:w="810" w:type="dxa"/>
            <w:tcBorders>
              <w:top w:val="nil"/>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spacing w:before="100" w:beforeAutospacing="1" w:after="100" w:afterAutospacing="1" w:line="320" w:lineRule="atLeast"/>
              <w:jc w:val="center"/>
              <w:rPr>
                <w:rFonts w:ascii="宋体" w:hAnsi="宋体" w:eastAsia="宋体" w:cs="宋体"/>
                <w:kern w:val="0"/>
                <w:sz w:val="24"/>
                <w:szCs w:val="24"/>
              </w:rPr>
            </w:pPr>
            <w:r>
              <w:rPr>
                <w:rFonts w:hint="eastAsia" w:ascii="宋体" w:hAnsi="宋体" w:eastAsia="宋体" w:cs="宋体"/>
                <w:color w:val="000000"/>
                <w:kern w:val="0"/>
                <w:sz w:val="22"/>
              </w:rPr>
              <w:t>10</w:t>
            </w:r>
          </w:p>
        </w:tc>
        <w:tc>
          <w:tcPr>
            <w:tcW w:w="2670" w:type="dxa"/>
            <w:tcBorders>
              <w:top w:val="nil"/>
              <w:left w:val="nil"/>
              <w:bottom w:val="single" w:color="000000" w:sz="4" w:space="0"/>
              <w:right w:val="single" w:color="000000" w:sz="4" w:space="0"/>
            </w:tcBorders>
            <w:tcMar>
              <w:top w:w="15" w:type="dxa"/>
              <w:left w:w="108" w:type="dxa"/>
              <w:bottom w:w="15" w:type="dxa"/>
              <w:right w:w="108" w:type="dxa"/>
            </w:tcMar>
            <w:vAlign w:val="center"/>
          </w:tcPr>
          <w:p>
            <w:pPr>
              <w:widowControl/>
              <w:spacing w:before="100" w:beforeAutospacing="1" w:after="100" w:afterAutospacing="1" w:line="320" w:lineRule="atLeast"/>
              <w:jc w:val="left"/>
              <w:rPr>
                <w:rFonts w:ascii="宋体" w:hAnsi="宋体" w:eastAsia="宋体" w:cs="宋体"/>
                <w:kern w:val="0"/>
                <w:sz w:val="24"/>
                <w:szCs w:val="24"/>
              </w:rPr>
            </w:pPr>
            <w:r>
              <w:rPr>
                <w:rFonts w:hint="eastAsia" w:ascii="宋体" w:hAnsi="宋体" w:eastAsia="宋体" w:cs="宋体"/>
                <w:color w:val="000000"/>
                <w:kern w:val="0"/>
                <w:sz w:val="22"/>
              </w:rPr>
              <w:t>宣传计量法律法规</w:t>
            </w:r>
          </w:p>
        </w:tc>
        <w:tc>
          <w:tcPr>
            <w:tcW w:w="8610" w:type="dxa"/>
            <w:tcBorders>
              <w:top w:val="nil"/>
              <w:left w:val="nil"/>
              <w:bottom w:val="single" w:color="000000" w:sz="4" w:space="0"/>
              <w:right w:val="single" w:color="000000" w:sz="4" w:space="0"/>
            </w:tcBorders>
            <w:tcMar>
              <w:top w:w="15" w:type="dxa"/>
              <w:left w:w="108" w:type="dxa"/>
              <w:bottom w:w="15" w:type="dxa"/>
              <w:right w:w="108" w:type="dxa"/>
            </w:tcMar>
            <w:vAlign w:val="center"/>
          </w:tcPr>
          <w:p>
            <w:pPr>
              <w:widowControl/>
              <w:spacing w:before="100" w:beforeAutospacing="1" w:after="100" w:afterAutospacing="1" w:line="320" w:lineRule="atLeast"/>
              <w:jc w:val="left"/>
              <w:rPr>
                <w:rFonts w:ascii="宋体" w:hAnsi="宋体" w:eastAsia="宋体" w:cs="宋体"/>
                <w:kern w:val="0"/>
                <w:sz w:val="24"/>
                <w:szCs w:val="24"/>
              </w:rPr>
            </w:pPr>
            <w:r>
              <w:rPr>
                <w:rFonts w:hint="eastAsia" w:ascii="宋体" w:hAnsi="宋体" w:eastAsia="宋体" w:cs="宋体"/>
                <w:color w:val="000000"/>
                <w:kern w:val="0"/>
                <w:sz w:val="22"/>
              </w:rPr>
              <w:t>利用“5.20世界计量日”，宣传计量法律法规，促进企业重视计量、百姓了解计量、社会关注计量。开展计量进社区、进学校。</w:t>
            </w:r>
          </w:p>
        </w:tc>
        <w:tc>
          <w:tcPr>
            <w:tcW w:w="2460" w:type="dxa"/>
            <w:tcBorders>
              <w:top w:val="nil"/>
              <w:left w:val="nil"/>
              <w:bottom w:val="single" w:color="000000" w:sz="4" w:space="0"/>
              <w:right w:val="single" w:color="000000" w:sz="4" w:space="0"/>
            </w:tcBorders>
            <w:tcMar>
              <w:top w:w="15" w:type="dxa"/>
              <w:left w:w="108" w:type="dxa"/>
              <w:bottom w:w="15" w:type="dxa"/>
              <w:right w:w="108" w:type="dxa"/>
            </w:tcMar>
            <w:vAlign w:val="center"/>
          </w:tcPr>
          <w:p>
            <w:pPr>
              <w:widowControl/>
              <w:spacing w:before="100" w:beforeAutospacing="1" w:after="100" w:afterAutospacing="1" w:line="320" w:lineRule="atLeast"/>
              <w:jc w:val="left"/>
              <w:rPr>
                <w:rFonts w:ascii="宋体" w:hAnsi="宋体" w:eastAsia="宋体" w:cs="宋体"/>
                <w:kern w:val="0"/>
                <w:sz w:val="24"/>
                <w:szCs w:val="24"/>
              </w:rPr>
            </w:pPr>
            <w:r>
              <w:rPr>
                <w:rFonts w:hint="eastAsia" w:ascii="宋体" w:hAnsi="宋体" w:eastAsia="宋体" w:cs="宋体"/>
                <w:color w:val="000000"/>
                <w:kern w:val="0"/>
                <w:sz w:val="22"/>
              </w:rPr>
              <w:t>稽查股</w:t>
            </w:r>
          </w:p>
        </w:tc>
      </w:tr>
      <w:tr>
        <w:tblPrEx>
          <w:tblCellMar>
            <w:top w:w="15" w:type="dxa"/>
            <w:left w:w="15" w:type="dxa"/>
            <w:bottom w:w="15" w:type="dxa"/>
            <w:right w:w="15" w:type="dxa"/>
          </w:tblCellMar>
        </w:tblPrEx>
        <w:trPr>
          <w:trHeight w:val="1021" w:hRule="atLeast"/>
        </w:trPr>
        <w:tc>
          <w:tcPr>
            <w:tcW w:w="810" w:type="dxa"/>
            <w:tcBorders>
              <w:top w:val="nil"/>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spacing w:before="100" w:beforeAutospacing="1" w:after="100" w:afterAutospacing="1" w:line="320" w:lineRule="atLeast"/>
              <w:jc w:val="center"/>
              <w:rPr>
                <w:rFonts w:ascii="宋体" w:hAnsi="宋体" w:eastAsia="宋体" w:cs="宋体"/>
                <w:kern w:val="0"/>
                <w:sz w:val="24"/>
                <w:szCs w:val="24"/>
              </w:rPr>
            </w:pPr>
            <w:r>
              <w:rPr>
                <w:rFonts w:hint="eastAsia" w:ascii="宋体" w:hAnsi="宋体" w:eastAsia="宋体" w:cs="宋体"/>
                <w:color w:val="000000"/>
                <w:kern w:val="0"/>
                <w:sz w:val="22"/>
              </w:rPr>
              <w:t>11</w:t>
            </w:r>
          </w:p>
        </w:tc>
        <w:tc>
          <w:tcPr>
            <w:tcW w:w="2670" w:type="dxa"/>
            <w:tcBorders>
              <w:top w:val="nil"/>
              <w:left w:val="nil"/>
              <w:bottom w:val="single" w:color="000000" w:sz="4" w:space="0"/>
              <w:right w:val="single" w:color="000000" w:sz="4" w:space="0"/>
            </w:tcBorders>
            <w:tcMar>
              <w:top w:w="15" w:type="dxa"/>
              <w:left w:w="108" w:type="dxa"/>
              <w:bottom w:w="15" w:type="dxa"/>
              <w:right w:w="108" w:type="dxa"/>
            </w:tcMar>
            <w:vAlign w:val="center"/>
          </w:tcPr>
          <w:p>
            <w:pPr>
              <w:widowControl/>
              <w:spacing w:before="100" w:beforeAutospacing="1" w:after="100" w:afterAutospacing="1" w:line="320" w:lineRule="atLeast"/>
              <w:jc w:val="left"/>
              <w:rPr>
                <w:rFonts w:ascii="宋体" w:hAnsi="宋体" w:eastAsia="宋体" w:cs="宋体"/>
                <w:kern w:val="0"/>
                <w:sz w:val="24"/>
                <w:szCs w:val="24"/>
              </w:rPr>
            </w:pPr>
            <w:r>
              <w:rPr>
                <w:rFonts w:hint="eastAsia" w:ascii="宋体" w:hAnsi="宋体" w:eastAsia="宋体" w:cs="宋体"/>
                <w:color w:val="000000"/>
                <w:kern w:val="0"/>
                <w:sz w:val="22"/>
              </w:rPr>
              <w:t>宣传特种设备安全法律法规</w:t>
            </w:r>
          </w:p>
        </w:tc>
        <w:tc>
          <w:tcPr>
            <w:tcW w:w="8610" w:type="dxa"/>
            <w:tcBorders>
              <w:top w:val="nil"/>
              <w:left w:val="nil"/>
              <w:bottom w:val="single" w:color="000000" w:sz="4" w:space="0"/>
              <w:right w:val="single" w:color="000000" w:sz="4" w:space="0"/>
            </w:tcBorders>
            <w:tcMar>
              <w:top w:w="15" w:type="dxa"/>
              <w:left w:w="108" w:type="dxa"/>
              <w:bottom w:w="15" w:type="dxa"/>
              <w:right w:w="108" w:type="dxa"/>
            </w:tcMar>
            <w:vAlign w:val="center"/>
          </w:tcPr>
          <w:p>
            <w:pPr>
              <w:widowControl/>
              <w:spacing w:before="100" w:beforeAutospacing="1" w:after="100" w:afterAutospacing="1" w:line="320" w:lineRule="atLeast"/>
              <w:jc w:val="left"/>
              <w:rPr>
                <w:rFonts w:ascii="宋体" w:hAnsi="宋体" w:eastAsia="宋体" w:cs="宋体"/>
                <w:kern w:val="0"/>
                <w:sz w:val="24"/>
                <w:szCs w:val="24"/>
              </w:rPr>
            </w:pPr>
            <w:r>
              <w:rPr>
                <w:rFonts w:hint="eastAsia" w:ascii="宋体" w:hAnsi="宋体" w:eastAsia="宋体" w:cs="宋体"/>
                <w:color w:val="000000"/>
                <w:kern w:val="0"/>
                <w:sz w:val="22"/>
              </w:rPr>
              <w:t>围绕“强化安全发展观念，提升全民安全素质”的主题，广泛开展安全发展主题宣讲，增强特种设备设备使用安全观念。</w:t>
            </w:r>
          </w:p>
        </w:tc>
        <w:tc>
          <w:tcPr>
            <w:tcW w:w="2460" w:type="dxa"/>
            <w:tcBorders>
              <w:top w:val="nil"/>
              <w:left w:val="nil"/>
              <w:bottom w:val="single" w:color="000000" w:sz="4" w:space="0"/>
              <w:right w:val="single" w:color="000000" w:sz="4" w:space="0"/>
            </w:tcBorders>
            <w:tcMar>
              <w:top w:w="15" w:type="dxa"/>
              <w:left w:w="108" w:type="dxa"/>
              <w:bottom w:w="15" w:type="dxa"/>
              <w:right w:w="108" w:type="dxa"/>
            </w:tcMar>
            <w:vAlign w:val="center"/>
          </w:tcPr>
          <w:p>
            <w:pPr>
              <w:widowControl/>
              <w:spacing w:before="100" w:beforeAutospacing="1" w:after="100" w:afterAutospacing="1" w:line="320" w:lineRule="atLeast"/>
              <w:jc w:val="left"/>
              <w:rPr>
                <w:rFonts w:ascii="宋体" w:hAnsi="宋体" w:eastAsia="宋体" w:cs="宋体"/>
                <w:kern w:val="0"/>
                <w:sz w:val="24"/>
                <w:szCs w:val="24"/>
              </w:rPr>
            </w:pPr>
            <w:r>
              <w:rPr>
                <w:rFonts w:hint="eastAsia" w:ascii="宋体" w:hAnsi="宋体" w:eastAsia="宋体" w:cs="宋体"/>
                <w:color w:val="000000"/>
                <w:kern w:val="0"/>
                <w:sz w:val="22"/>
              </w:rPr>
              <w:t>业务股</w:t>
            </w:r>
          </w:p>
        </w:tc>
      </w:tr>
    </w:tbl>
    <w:p>
      <w:pPr>
        <w:rPr>
          <w:sz w:val="32"/>
          <w:szCs w:val="32"/>
        </w:rPr>
      </w:pPr>
      <w:bookmarkStart w:id="0" w:name="_GoBack"/>
      <w:bookmarkEnd w:id="0"/>
      <w:r>
        <w:rPr>
          <w:rFonts w:hint="eastAsia"/>
          <w:sz w:val="32"/>
          <w:szCs w:val="32"/>
        </w:rPr>
        <w:t>法</w:t>
      </w:r>
      <w:r>
        <w:rPr>
          <w:rFonts w:hint="eastAsia"/>
          <w:sz w:val="32"/>
          <w:szCs w:val="32"/>
          <w:lang w:eastAsia="zh-CN"/>
        </w:rPr>
        <w:t>治</w:t>
      </w:r>
      <w:r>
        <w:rPr>
          <w:rFonts w:hint="eastAsia"/>
          <w:sz w:val="32"/>
          <w:szCs w:val="32"/>
        </w:rPr>
        <w:t>宣传纪律要求：按照“谁执法谁普法”工作要求，各责任科室要在202</w:t>
      </w:r>
      <w:r>
        <w:rPr>
          <w:rFonts w:hint="eastAsia"/>
          <w:sz w:val="32"/>
          <w:szCs w:val="32"/>
          <w:lang w:val="en-US" w:eastAsia="zh-CN"/>
        </w:rPr>
        <w:t>1</w:t>
      </w:r>
      <w:r>
        <w:rPr>
          <w:rFonts w:hint="eastAsia"/>
          <w:sz w:val="32"/>
          <w:szCs w:val="32"/>
        </w:rPr>
        <w:t>年度内利用在执法、办案的过程中或者利用报纸、微信、公众号等进行广泛普法宣传。并留存照片和文字说明报法制股备案。</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华文中宋">
    <w:altName w:val="宋体"/>
    <w:panose1 w:val="00000000000000000000"/>
    <w:charset w:val="86"/>
    <w:family w:val="roma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903E5"/>
    <w:rsid w:val="00274640"/>
    <w:rsid w:val="0042721A"/>
    <w:rsid w:val="005514DD"/>
    <w:rsid w:val="005A6CFD"/>
    <w:rsid w:val="007F47DB"/>
    <w:rsid w:val="008C0DA8"/>
    <w:rsid w:val="00A903E5"/>
    <w:rsid w:val="00DA10D6"/>
    <w:rsid w:val="00E865AB"/>
    <w:rsid w:val="00EE08E8"/>
    <w:rsid w:val="00F0132A"/>
    <w:rsid w:val="5A9B628A"/>
    <w:rsid w:val="6BFC7C4B"/>
    <w:rsid w:val="7E3811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182</Words>
  <Characters>1042</Characters>
  <Lines>8</Lines>
  <Paragraphs>2</Paragraphs>
  <TotalTime>39</TotalTime>
  <ScaleCrop>false</ScaleCrop>
  <LinksUpToDate>false</LinksUpToDate>
  <CharactersWithSpaces>1222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2020-05-25T09:34:00Z</dcterms:created>
  <dc:creator>Administrator</dc:creator>
  <cp:lastModifiedBy>Administrator</cp:lastModifiedBy>
  <cp:lastPrinted>2020-05-25T09:45:00Z</cp:lastPrinted>
  <dcterms:modified xsi:type="dcterms:W3CDTF">2021-12-27T01:54:38Z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